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40D22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AC7123" w:rsidRDefault="0092159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37530F">
        <w:rPr>
          <w:rFonts w:ascii="Arial" w:hAnsi="Arial" w:cs="Arial"/>
          <w:sz w:val="24"/>
          <w:szCs w:val="24"/>
          <w:lang w:val="sr-Cyrl-RS"/>
        </w:rPr>
        <w:t>265</w:t>
      </w:r>
    </w:p>
    <w:p w:rsidR="00A928CC" w:rsidRPr="00AC7123" w:rsidRDefault="0092159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37530F">
        <w:rPr>
          <w:rFonts w:ascii="Arial" w:hAnsi="Arial" w:cs="Arial"/>
          <w:sz w:val="24"/>
          <w:szCs w:val="24"/>
          <w:lang w:val="sr-Cyrl-RS"/>
        </w:rPr>
        <w:t>14</w:t>
      </w:r>
      <w:r w:rsidR="00AC7123">
        <w:rPr>
          <w:rFonts w:ascii="Arial" w:hAnsi="Arial" w:cs="Arial"/>
          <w:sz w:val="24"/>
          <w:szCs w:val="24"/>
        </w:rPr>
        <w:t>.0</w:t>
      </w:r>
      <w:r w:rsidR="00AC7123">
        <w:rPr>
          <w:rFonts w:ascii="Arial" w:hAnsi="Arial" w:cs="Arial"/>
          <w:sz w:val="24"/>
          <w:szCs w:val="24"/>
          <w:lang w:val="sr-Cyrl-RS"/>
        </w:rPr>
        <w:t>5</w:t>
      </w:r>
      <w:r w:rsidR="00AC7123">
        <w:rPr>
          <w:rFonts w:ascii="Arial" w:hAnsi="Arial" w:cs="Arial"/>
          <w:sz w:val="24"/>
          <w:szCs w:val="24"/>
        </w:rPr>
        <w:t>.202</w:t>
      </w:r>
      <w:r w:rsidR="00FC2053">
        <w:rPr>
          <w:rFonts w:ascii="Arial" w:hAnsi="Arial" w:cs="Arial"/>
          <w:sz w:val="24"/>
          <w:szCs w:val="24"/>
          <w:lang w:val="sr-Cyrl-RS"/>
        </w:rPr>
        <w:t>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37530F">
        <w:rPr>
          <w:rFonts w:ascii="Arial" w:hAnsi="Arial" w:cs="Arial"/>
          <w:sz w:val="24"/>
          <w:szCs w:val="24"/>
          <w:lang w:val="sr-Cyrl-RS"/>
        </w:rPr>
        <w:t>263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2652F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7530F">
        <w:rPr>
          <w:rFonts w:ascii="Arial" w:hAnsi="Arial" w:cs="Arial"/>
          <w:sz w:val="24"/>
          <w:szCs w:val="24"/>
          <w:lang w:val="sr-Cyrl-RS"/>
        </w:rPr>
        <w:t>14</w:t>
      </w:r>
      <w:r w:rsidR="00AC7123">
        <w:rPr>
          <w:rFonts w:ascii="Arial" w:hAnsi="Arial" w:cs="Arial"/>
          <w:sz w:val="24"/>
          <w:szCs w:val="24"/>
        </w:rPr>
        <w:t>.0</w:t>
      </w:r>
      <w:r w:rsidR="00AC7123">
        <w:rPr>
          <w:rFonts w:ascii="Arial" w:hAnsi="Arial" w:cs="Arial"/>
          <w:sz w:val="24"/>
          <w:szCs w:val="24"/>
          <w:lang w:val="sr-Cyrl-RS"/>
        </w:rPr>
        <w:t>5</w:t>
      </w:r>
      <w:r w:rsidR="00AC7123">
        <w:rPr>
          <w:rFonts w:ascii="Arial" w:hAnsi="Arial" w:cs="Arial"/>
          <w:sz w:val="24"/>
          <w:szCs w:val="24"/>
        </w:rPr>
        <w:t>.202</w:t>
      </w:r>
      <w:r w:rsidR="00FC2053">
        <w:rPr>
          <w:rFonts w:ascii="Arial" w:hAnsi="Arial" w:cs="Arial"/>
          <w:sz w:val="24"/>
          <w:szCs w:val="24"/>
          <w:lang w:val="sr-Cyrl-RS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AC7123" w:rsidRDefault="00A928CC" w:rsidP="002652F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37530F">
        <w:rPr>
          <w:rFonts w:ascii="Arial" w:hAnsi="Arial" w:cs="Arial"/>
          <w:sz w:val="24"/>
          <w:szCs w:val="24"/>
          <w:lang w:val="sr-Cyrl-RS"/>
        </w:rPr>
        <w:t>24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6099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6F4388" w:rsidRDefault="0037530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мобилне телефоније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37530F" w:rsidRPr="00CE4C2D" w:rsidRDefault="0037530F" w:rsidP="0037530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Понуђач се обавезује да:</w:t>
            </w:r>
          </w:p>
          <w:p w:rsidR="0037530F" w:rsidRDefault="0037530F" w:rsidP="0037530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Обезбеди ф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ормирање групе ВПН корисника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Установе Нишки културни центар 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Ниш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претплатничких бројева уз могућност да се број претплатника повећа или смањи;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Обезбеди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есплатн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позив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специјалних служби (полиција,хитна помоћ,ватрогасци.. сл.);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Обезбеди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есплатн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позив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ка корисничком сервису понуђача (мобилног оператера);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- Омогућено задржавање нумерације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стојећих бројева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- У случају промене постојећег оператера наручиоца, трошкови преноса бројева падају на терет изабраног оператера;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Понуђене цене су фиксне у динарском износу за време трајања уговорног периода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од 12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месеци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и не могу се мењати;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Обезбеди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есплатан детаљан к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oрпоративни листинг свих позива за сваки кориснички број по захтеву Наручиоца;</w:t>
            </w:r>
          </w:p>
          <w:p w:rsidR="0037530F" w:rsidRPr="00CE4C2D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Обезбеди о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стале услуге: услуге роминга, интернета, SMS порука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рема међународним дестинацијама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Наручилац плаћа према важећем ценовнику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оператера за пословне кориснике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Омогући а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ктивирање роминга на писани захтев Наручиоца, без уплате аванса;</w:t>
            </w:r>
          </w:p>
          <w:p w:rsidR="0037530F" w:rsidRPr="00CE4C2D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Обезбеди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корисничке (СИМ) картице у случају губитка, оштећења и сл, у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дужем од 48 сати, бесплатно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;</w:t>
            </w:r>
          </w:p>
          <w:p w:rsidR="0037530F" w:rsidRPr="00D930AC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- Обавезан буџет за бенефицирану набавку телефона у износу од најмање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0.000,00 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динара 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са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ом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. Буџет је могуће користити у току трајања уговоpне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обавезе . Сви телефонски апарати из актуелне понуде оператора за правна лица, морају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бити доступни Наручиоцу по максималној цени од 1 динар по апарату. Уколико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понуђач понуди мањи буџет од траженог, његова понуда ће бити одбијена као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неприхватљива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Омогући да време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преузимања мобилних уређаја не условљава продужење уговорне обавезе;</w:t>
            </w:r>
          </w:p>
          <w:p w:rsidR="0037530F" w:rsidRPr="00D930AC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Омогући г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арантни рок за телефонске уређаје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који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је идентичан трајању уговора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Омогући м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аксимал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рок за успостављање услуге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буде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5  дана.</w:t>
            </w:r>
          </w:p>
          <w:p w:rsidR="0037530F" w:rsidRPr="00D930AC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7530F" w:rsidRPr="001A2F61" w:rsidRDefault="0037530F" w:rsidP="0037530F">
            <w:pPr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</w:rPr>
              <w:softHyphen/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Омогући 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RS"/>
              </w:rPr>
              <w:t>р</w:t>
            </w:r>
            <w:r w:rsidRPr="001A2F61"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</w:rPr>
              <w:t>оминг пакет за зону 0  (Црна Гора, Босна и Херцеговина, Северна Македонија, Албанија) као и за зону 0 a (Грчка)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RS"/>
              </w:rPr>
              <w:t>.</w:t>
            </w:r>
            <w:r w:rsidRPr="001A2F61"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</w:rPr>
              <w:t xml:space="preserve"> Понуђач доставља уз понуду актуелни важећи ценовник роминг услуга, тарифних додатака и евентуалних та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</w:rPr>
              <w:t>рифа које се тичу роминг услуга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RS"/>
              </w:rPr>
              <w:lastRenderedPageBreak/>
              <w:t>које Наручилац плаћа након потрошених роминг услуга у оквиру изабраног пакета;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530F" w:rsidRPr="001A2F61" w:rsidRDefault="0037530F" w:rsidP="0037530F">
            <w:pPr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Омогући да 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RS"/>
              </w:rPr>
              <w:t>ц</w:t>
            </w:r>
            <w:r w:rsidRPr="001A2F61"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</w:rPr>
              <w:t>ена одлазног и долазног саобраћаја за зону 0а ( Грчка) не сме бити већа од 20 дин. по минути без пдв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RS"/>
              </w:rPr>
              <w:t xml:space="preserve"> -а</w:t>
            </w:r>
            <w:r w:rsidRPr="001A2F61"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BA"/>
              </w:rPr>
              <w:t>, цена с</w:t>
            </w:r>
            <w:r>
              <w:rPr>
                <w:rFonts w:ascii="Times New Roman" w:hAnsi="Times New Roman" w:cs="Times New Roman"/>
                <w:color w:val="1D1D1D"/>
                <w:sz w:val="28"/>
                <w:szCs w:val="28"/>
                <w:shd w:val="clear" w:color="auto" w:fill="FFFFFF"/>
                <w:lang w:val="sr-Cyrl-BA"/>
              </w:rPr>
              <w:t>мс-а не већа од 5 дин без пдв-а;</w:t>
            </w:r>
          </w:p>
          <w:p w:rsidR="0037530F" w:rsidRPr="00D930AC" w:rsidRDefault="0037530F" w:rsidP="0037530F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За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оминг додатак из пакета 1 и 2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омогућити његово коришћење у минимум 50 земаља -бесп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латно (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доставити списак земаља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;</w:t>
            </w:r>
          </w:p>
          <w:p w:rsidR="0037530F" w:rsidRPr="001A2F61" w:rsidRDefault="0037530F" w:rsidP="0037530F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Након потрошених минута и смс порука  и других услуга које су укључене у претплату изабраних пакета, по захтеву наручиоца  мора постојати могућност  да се лимитира потрошња преко утврђене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потрошње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броју (у РСД).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Понуђач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треба да достави ценовник по којем се врши тафирирање након потрошених услуга у пакету;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</w:rPr>
              <w:t>Буџет за бенефицирану набавку телефонских уређаја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7530F" w:rsidRPr="000E1AF9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Буџет представља збир свих телефонских уређаја по пуним ценама на дан подношења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понуде, које Наручилац набавља по цени од 1,00 динар по уређају, а у складу са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спецификацијом и карактеристикама телефонских уређаја са пуним ценама за све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телефонске уређаје која је саставни део понуде понуђача.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</w:rPr>
              <w:t>Квалитет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b/>
                <w:sz w:val="28"/>
                <w:szCs w:val="28"/>
              </w:rPr>
              <w:t>и опис услуге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Врста, ниво и квалитет услуга мобилне телефоније морају бити у складу са Законом о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електронским телекомуникацијама, Правилником о општим условима за обављање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делатности електронских комуникација по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режиму општег овлашћења, као и другим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прописима и подзаконским актима којима се регулише област електронских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телекомуникација. Понуђач мора пружати предметну услугу у складу са условима који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произилазе из одговарајуће лиценце за јавну мобилну телекомуникациону мрежу и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услуге јавне мобилне телекомуникационе мреже које је издала Републичка агенција за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електронске комуникације за територију Републике Србије – дозвола предвиђена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посебним прописом: важећа лиценца за јавну мобилну телекомуникациону мрежу и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услуге јавне мобилне телекомуникационе мреже у складу са GSM/GSM1800 и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UMTS/IMT-2000 стандардом.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7530F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 xml:space="preserve">Набавка се врши за услугу оператера мобилне телефоније за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  <w:r w:rsidRPr="001A2F6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1A2F61">
              <w:rPr>
                <w:rFonts w:ascii="Times New Roman" w:hAnsi="Times New Roman" w:cs="Times New Roman"/>
                <w:sz w:val="28"/>
                <w:szCs w:val="28"/>
              </w:rPr>
              <w:t>претплатничких бројева у пословној ВПН мрежи.</w:t>
            </w:r>
          </w:p>
          <w:p w:rsidR="0037530F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7530F" w:rsidRPr="008957E4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НАПОМЕНА: Уговор се закључује до процењене вредности из Измене Плана набавки које су изузете од примене Закона за 2026. годину.</w:t>
            </w: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Pr="001A2F61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Pr="0037530F" w:rsidRDefault="0037530F" w:rsidP="0037530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37530F" w:rsidRDefault="0037530F" w:rsidP="0037530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37530F" w:rsidRPr="008957E4" w:rsidRDefault="0037530F" w:rsidP="0037530F">
            <w:pPr>
              <w:suppressAutoHyphens/>
              <w:jc w:val="both"/>
              <w:rPr>
                <w:rFonts w:eastAsia="Times New Roman" w:cstheme="minorHAnsi"/>
                <w:b/>
                <w:sz w:val="20"/>
                <w:szCs w:val="20"/>
                <w:lang w:val="sr-Cyrl-RS" w:eastAsia="ar-SA"/>
              </w:rPr>
            </w:pPr>
          </w:p>
          <w:p w:rsidR="0037530F" w:rsidRDefault="0037530F" w:rsidP="0037530F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 w:eastAsia="ar-SA"/>
              </w:rPr>
            </w:pPr>
            <w:r w:rsidRPr="003F3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ОПИС ПАКЕТА</w:t>
            </w:r>
          </w:p>
          <w:p w:rsidR="0037530F" w:rsidRPr="008957E4" w:rsidRDefault="0037530F" w:rsidP="0037530F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 w:eastAsia="ar-SA"/>
              </w:rPr>
            </w:pPr>
          </w:p>
          <w:p w:rsidR="0037530F" w:rsidRPr="003F3F08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5867" w:type="dxa"/>
              <w:jc w:val="center"/>
              <w:tblCellSpacing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6"/>
              <w:gridCol w:w="1888"/>
              <w:gridCol w:w="1888"/>
            </w:tblGrid>
            <w:tr w:rsidR="0037530F" w:rsidRPr="003F3F08" w:rsidTr="00CC05E5">
              <w:trPr>
                <w:trHeight w:val="459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E0E0E0"/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57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Укључено у претплату (минимални захтев):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E0E0E0"/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5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Пакет 1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E0E0E0"/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57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Пакет 2</w:t>
                  </w:r>
                </w:p>
              </w:tc>
            </w:tr>
            <w:tr w:rsidR="0037530F" w:rsidRPr="003F3F08" w:rsidTr="00CC05E5">
              <w:trPr>
                <w:trHeight w:val="473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Број минута у групи Наручиоца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pStyle w:val="NormalWeb"/>
                    <w:spacing w:line="276" w:lineRule="auto"/>
                    <w:rPr>
                      <w:rFonts w:eastAsiaTheme="minorHAnsi"/>
                      <w:lang w:val="sr-Latn-RS"/>
                    </w:rPr>
                  </w:pPr>
                  <w:proofErr w:type="spellStart"/>
                  <w:r w:rsidRPr="008957E4">
                    <w:t>неограничено</w:t>
                  </w:r>
                  <w:proofErr w:type="spellEnd"/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  <w:hideMark/>
                </w:tcPr>
                <w:p w:rsidR="0037530F" w:rsidRPr="008957E4" w:rsidRDefault="0037530F" w:rsidP="00CC05E5">
                  <w:pPr>
                    <w:pStyle w:val="NormalWeb"/>
                    <w:spacing w:line="276" w:lineRule="auto"/>
                    <w:rPr>
                      <w:rFonts w:eastAsiaTheme="minorHAnsi"/>
                      <w:lang w:val="sr-Cyrl-RS"/>
                    </w:rPr>
                  </w:pPr>
                  <w:r w:rsidRPr="008957E4">
                    <w:rPr>
                      <w:rFonts w:eastAsiaTheme="minorHAnsi"/>
                      <w:lang w:val="sr-Latn-RS"/>
                    </w:rPr>
                    <w:t>неограничено</w:t>
                  </w:r>
                </w:p>
              </w:tc>
            </w:tr>
            <w:tr w:rsidR="0037530F" w:rsidRPr="003F3F08" w:rsidTr="00CC05E5">
              <w:trPr>
                <w:trHeight w:val="473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Број минута након утрошених минута, а у мрежи понуђача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pStyle w:val="NormalWeb"/>
                    <w:rPr>
                      <w:rFonts w:eastAsiaTheme="minorHAnsi"/>
                      <w:lang w:val="sr-Cyrl-RS"/>
                    </w:rPr>
                  </w:pPr>
                  <w:r w:rsidRPr="008957E4">
                    <w:rPr>
                      <w:rFonts w:eastAsiaTheme="minorHAnsi"/>
                      <w:lang w:val="sr-Latn-RS"/>
                    </w:rPr>
                    <w:t>неограничено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pStyle w:val="NormalWeb"/>
                    <w:rPr>
                      <w:rFonts w:eastAsiaTheme="minorHAnsi"/>
                      <w:lang w:val="sr-Latn-RS"/>
                    </w:rPr>
                  </w:pPr>
                  <w:r w:rsidRPr="008957E4">
                    <w:rPr>
                      <w:rFonts w:eastAsiaTheme="minorHAnsi"/>
                      <w:lang w:val="sr-Latn-RS"/>
                    </w:rPr>
                    <w:t>неограничено</w:t>
                  </w:r>
                </w:p>
              </w:tc>
            </w:tr>
            <w:tr w:rsidR="0037530F" w:rsidRPr="003F3F08" w:rsidTr="00CC05E5">
              <w:trPr>
                <w:trHeight w:val="473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224039565"/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Број минута ка свим мрежама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неограничено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неограничено</w:t>
                  </w:r>
                </w:p>
              </w:tc>
            </w:tr>
            <w:bookmarkEnd w:id="0"/>
            <w:tr w:rsidR="0037530F" w:rsidRPr="003F3F08" w:rsidTr="00CC05E5">
              <w:trPr>
                <w:trHeight w:val="473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Број СМС порука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неограничено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sr-Cyrl-RS"/>
                    </w:rPr>
                    <w:t>н</w:t>
                  </w: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еограничен</w:t>
                  </w: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sr-Cyrl-RS"/>
                    </w:rPr>
                    <w:t>о</w:t>
                  </w:r>
                </w:p>
              </w:tc>
            </w:tr>
            <w:tr w:rsidR="0037530F" w:rsidRPr="003F3F08" w:rsidTr="00CC05E5">
              <w:trPr>
                <w:trHeight w:val="459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Минимални б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рој ГБ за пренос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података у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Земљи по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максималној брзини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неограничено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неограничено</w:t>
                  </w:r>
                </w:p>
              </w:tc>
            </w:tr>
            <w:tr w:rsidR="0037530F" w:rsidRPr="003F3F08" w:rsidTr="00CC05E5">
              <w:trPr>
                <w:trHeight w:val="686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nil"/>
                    <w:left w:val="outset" w:sz="6" w:space="0" w:color="00000A"/>
                    <w:bottom w:val="outset" w:sz="6" w:space="0" w:color="00000A"/>
                    <w:right w:val="single" w:sz="4" w:space="0" w:color="auto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Минимални б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рој ГБ за пренос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података у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Ромингу по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максималној брзини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1GB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 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GB</w:t>
                  </w:r>
                </w:p>
              </w:tc>
            </w:tr>
            <w:tr w:rsidR="0037530F" w:rsidRPr="003F3F08" w:rsidTr="00CC05E5">
              <w:trPr>
                <w:trHeight w:val="459"/>
                <w:tblCellSpacing w:w="0" w:type="dxa"/>
                <w:jc w:val="center"/>
              </w:trPr>
              <w:tc>
                <w:tcPr>
                  <w:tcW w:w="2085" w:type="dxa"/>
                  <w:tcBorders>
                    <w:top w:val="outset" w:sz="6" w:space="0" w:color="00000A"/>
                    <w:left w:val="nil"/>
                    <w:bottom w:val="outset" w:sz="6" w:space="0" w:color="00000A"/>
                    <w:right w:val="single" w:sz="4" w:space="0" w:color="auto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Минимални број минута у Ромингу</w:t>
                  </w:r>
                </w:p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</w:t>
                  </w:r>
                </w:p>
              </w:tc>
              <w:tc>
                <w:tcPr>
                  <w:tcW w:w="1894" w:type="dxa"/>
                  <w:gridSpan w:val="2"/>
                  <w:tcBorders>
                    <w:top w:val="outset" w:sz="6" w:space="0" w:color="00000A"/>
                    <w:left w:val="single" w:sz="4" w:space="0" w:color="auto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 </w:t>
                  </w:r>
                  <w:r w:rsidRPr="008957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20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3F3F08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50</w:t>
                  </w:r>
                </w:p>
              </w:tc>
            </w:tr>
            <w:tr w:rsidR="0037530F" w:rsidRPr="003F3F08" w:rsidTr="00CC05E5">
              <w:trPr>
                <w:trHeight w:val="459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Минимални број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СМС порука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у Ромингу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   </w:t>
                  </w:r>
                </w:p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50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</w:tcPr>
                <w:p w:rsidR="0037530F" w:rsidRPr="003F3F08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50</w:t>
                  </w:r>
                </w:p>
              </w:tc>
            </w:tr>
            <w:tr w:rsidR="0037530F" w:rsidRPr="003F3F08" w:rsidTr="00CC05E5">
              <w:trPr>
                <w:trHeight w:val="473"/>
                <w:tblCellSpacing w:w="0" w:type="dxa"/>
                <w:jc w:val="center"/>
              </w:trPr>
              <w:tc>
                <w:tcPr>
                  <w:tcW w:w="2091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vAlign w:val="center"/>
                  <w:hideMark/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Број минута ка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иностранству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</w:tcPr>
                <w:p w:rsidR="0037530F" w:rsidRPr="008957E4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8957E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/</w:t>
                  </w:r>
                </w:p>
              </w:tc>
              <w:tc>
                <w:tcPr>
                  <w:tcW w:w="188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hideMark/>
                </w:tcPr>
                <w:p w:rsidR="0037530F" w:rsidRPr="003F3F08" w:rsidRDefault="0037530F" w:rsidP="00CC05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 xml:space="preserve">          </w:t>
                  </w:r>
                  <w:r w:rsidRPr="003F3F08">
                    <w:rPr>
                      <w:rFonts w:ascii="Times New Roman" w:hAnsi="Times New Roman" w:cs="Times New Roman"/>
                      <w:sz w:val="28"/>
                      <w:szCs w:val="28"/>
                      <w:lang w:val="sr-Cyrl-RS"/>
                    </w:rPr>
                    <w:t>/</w:t>
                  </w:r>
                </w:p>
              </w:tc>
            </w:tr>
          </w:tbl>
          <w:p w:rsidR="0037530F" w:rsidRPr="003F3F08" w:rsidRDefault="0037530F" w:rsidP="00375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  <w:p w:rsidR="0037530F" w:rsidRDefault="0037530F" w:rsidP="0037530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37530F" w:rsidRDefault="0037530F" w:rsidP="0037530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6F4388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FC2053">
              <w:rPr>
                <w:rFonts w:ascii="Arial" w:hAnsi="Arial" w:cs="Arial"/>
                <w:sz w:val="24"/>
                <w:szCs w:val="24"/>
                <w:lang w:val="sr-Cyrl-RS"/>
              </w:rPr>
              <w:t>18.05.2026</w:t>
            </w:r>
            <w:r w:rsidR="006F4388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37530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6E538D">
              <w:rPr>
                <w:rFonts w:ascii="Arial" w:hAnsi="Arial" w:cs="Arial"/>
                <w:sz w:val="24"/>
                <w:szCs w:val="24"/>
                <w:lang w:val="sr-Cyrl-CS"/>
              </w:rPr>
              <w:t>о</w:t>
            </w:r>
            <w:r w:rsidR="00A5041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бавити истог дана </w:t>
            </w:r>
            <w:r w:rsidR="00FC2053">
              <w:rPr>
                <w:rFonts w:ascii="Arial" w:hAnsi="Arial" w:cs="Arial"/>
                <w:sz w:val="24"/>
                <w:szCs w:val="24"/>
                <w:lang w:val="sr-Cyrl-RS"/>
              </w:rPr>
              <w:t>18</w:t>
            </w:r>
            <w:r w:rsidR="006F4388">
              <w:rPr>
                <w:rFonts w:ascii="Arial" w:hAnsi="Arial" w:cs="Arial"/>
                <w:sz w:val="24"/>
                <w:szCs w:val="24"/>
              </w:rPr>
              <w:t>.</w:t>
            </w:r>
            <w:r w:rsidR="00AC7123">
              <w:rPr>
                <w:rFonts w:ascii="Arial" w:hAnsi="Arial" w:cs="Arial"/>
                <w:sz w:val="24"/>
                <w:szCs w:val="24"/>
                <w:lang w:val="sr-Cyrl-RS"/>
              </w:rPr>
              <w:t>05</w:t>
            </w:r>
            <w:r w:rsidR="00FC2053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0416B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</w:t>
            </w:r>
            <w:r w:rsidR="0037530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AC7123" w:rsidRDefault="0037530F" w:rsidP="002652F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Годину дана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6F4388" w:rsidRDefault="006F4388" w:rsidP="006F438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на основу регистровања фактуре у ЦРФ.</w:t>
            </w:r>
          </w:p>
          <w:p w:rsidR="006F4388" w:rsidRDefault="006F4388" w:rsidP="006F438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6F4388" w:rsidRPr="00E8551A" w:rsidRDefault="006F4388" w:rsidP="006F438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6F4388" w:rsidRDefault="006F4388" w:rsidP="006F438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>
      <w:pPr>
        <w:rPr>
          <w:rFonts w:ascii="Arial" w:hAnsi="Arial" w:cs="Arial"/>
          <w:sz w:val="24"/>
          <w:szCs w:val="24"/>
          <w:lang w:val="sr-Cyrl-CS"/>
        </w:rPr>
      </w:pPr>
    </w:p>
    <w:p w:rsidR="008961E4" w:rsidRPr="0037530F" w:rsidRDefault="008961E4">
      <w:pPr>
        <w:rPr>
          <w:rFonts w:ascii="Arial" w:hAnsi="Arial" w:cs="Arial"/>
          <w:sz w:val="24"/>
          <w:szCs w:val="24"/>
          <w:lang w:val="en-U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C40D22" w:rsidRPr="001E1779" w:rsidRDefault="00C40D2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lastRenderedPageBreak/>
        <w:t>ОПИС ПРЕ</w:t>
      </w:r>
      <w:r w:rsidR="002652F5">
        <w:rPr>
          <w:rFonts w:ascii="Arial" w:hAnsi="Arial" w:cs="Arial"/>
          <w:sz w:val="24"/>
          <w:szCs w:val="24"/>
          <w:lang w:val="sr-Cyrl-CS"/>
        </w:rPr>
        <w:t>ДМЕТА НАБА</w:t>
      </w:r>
      <w:r w:rsidR="006D4597">
        <w:rPr>
          <w:rFonts w:ascii="Arial" w:hAnsi="Arial" w:cs="Arial"/>
          <w:sz w:val="24"/>
          <w:szCs w:val="24"/>
          <w:lang w:val="sr-Cyrl-CS"/>
        </w:rPr>
        <w:t>ВК</w:t>
      </w:r>
      <w:r w:rsidR="00AC7123">
        <w:rPr>
          <w:rFonts w:ascii="Arial" w:hAnsi="Arial" w:cs="Arial"/>
          <w:sz w:val="24"/>
          <w:szCs w:val="24"/>
          <w:lang w:val="sr-Cyrl-CS"/>
        </w:rPr>
        <w:t>Е – У</w:t>
      </w:r>
      <w:r w:rsidR="0037530F">
        <w:rPr>
          <w:rFonts w:ascii="Arial" w:hAnsi="Arial" w:cs="Arial"/>
          <w:sz w:val="24"/>
          <w:szCs w:val="24"/>
          <w:lang w:val="sr-Cyrl-CS"/>
        </w:rPr>
        <w:t>слуге мобилне телефоније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Pr="0037530F" w:rsidRDefault="00794232" w:rsidP="006A5E6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Укупна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37530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пакет 1 </w:t>
            </w:r>
            <w:r w:rsidR="0037530F">
              <w:rPr>
                <w:rFonts w:ascii="Arial" w:hAnsi="Arial" w:cs="Arial"/>
                <w:sz w:val="24"/>
                <w:szCs w:val="24"/>
                <w:lang w:val="en-US"/>
              </w:rPr>
              <w:t>+ 2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Pr="00794232" w:rsidRDefault="00794232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цен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37530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за пакет 1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+ 2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НАПОМЕНА: Укупна цена без ПДВ-а и са ПДВ –ом за пакет 1 и 2 користиће се за рангирање приспелих понуда а уговор ће се закључити до процењенњ вредности из Измене плана набавки које су изузете од примене закона.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</w:t>
      </w:r>
      <w:r w:rsidR="006F4388">
        <w:rPr>
          <w:rFonts w:ascii="Arial" w:hAnsi="Arial" w:cs="Arial"/>
          <w:sz w:val="24"/>
          <w:szCs w:val="24"/>
          <w:lang w:val="sr-Cyrl-CS"/>
        </w:rPr>
        <w:t xml:space="preserve">                _____________</w:t>
      </w: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94232" w:rsidRPr="00794232" w:rsidRDefault="00794232" w:rsidP="006A5E69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</w:t>
      </w:r>
      <w:r w:rsidRPr="00794232">
        <w:rPr>
          <w:rFonts w:ascii="Times New Roman" w:hAnsi="Times New Roman" w:cs="Times New Roman"/>
          <w:b/>
          <w:sz w:val="28"/>
          <w:szCs w:val="28"/>
          <w:lang w:val="sr-Cyrl-CS"/>
        </w:rPr>
        <w:t>ОБРАЗАЦ СТРУКТУРЕ ЦЕНЕ</w:t>
      </w:r>
    </w:p>
    <w:p w:rsidR="00794232" w:rsidRDefault="00794232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F4388" w:rsidRDefault="006F4388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964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25"/>
        <w:gridCol w:w="2128"/>
        <w:gridCol w:w="1387"/>
        <w:gridCol w:w="23"/>
        <w:gridCol w:w="2970"/>
        <w:gridCol w:w="7"/>
        <w:gridCol w:w="1995"/>
      </w:tblGrid>
      <w:tr w:rsidR="0037530F" w:rsidRPr="003F3F08" w:rsidTr="00CC05E5">
        <w:trPr>
          <w:trHeight w:hRule="exact" w:val="750"/>
        </w:trPr>
        <w:tc>
          <w:tcPr>
            <w:tcW w:w="326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hideMark/>
          </w:tcPr>
          <w:p w:rsidR="0037530F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37530F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37530F" w:rsidRPr="003F3F08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6382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nil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7530F" w:rsidRPr="003F3F08" w:rsidTr="00CC05E5">
        <w:trPr>
          <w:trHeight w:hRule="exact" w:val="7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</w:tcPr>
          <w:p w:rsidR="0037530F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Ред.бр.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</w:tcPr>
          <w:p w:rsidR="0037530F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   Врста услуге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92417E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rPr>
                <w:rFonts w:ascii="Times New Roman" w:hAnsi="Times New Roman" w:cs="Times New Roman"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sr-Cyrl-RS"/>
              </w:rPr>
              <w:t>Цена без ПДВ-а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92417E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rPr>
                <w:rFonts w:ascii="Times New Roman" w:hAnsi="Times New Roman" w:cs="Times New Roman"/>
                <w:sz w:val="28"/>
                <w:szCs w:val="28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sr-Cyrl-RS"/>
              </w:rPr>
              <w:t>Цена са ПДВ-ом</w:t>
            </w:r>
          </w:p>
        </w:tc>
      </w:tr>
      <w:tr w:rsidR="0037530F" w:rsidRPr="003F3F08" w:rsidTr="00CC05E5">
        <w:trPr>
          <w:trHeight w:hRule="exact" w:val="936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:rsidR="0037530F" w:rsidRPr="003F3F08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left="103" w:right="21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</w:tcPr>
          <w:p w:rsidR="0037530F" w:rsidRPr="003F3F08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left="103" w:right="21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Пакет 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7530F" w:rsidRPr="003F3F08" w:rsidTr="00CC05E5">
        <w:trPr>
          <w:trHeight w:hRule="exact" w:val="78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</w:tcPr>
          <w:p w:rsidR="0037530F" w:rsidRPr="0092417E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left="103"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</w:tcPr>
          <w:p w:rsidR="0037530F" w:rsidRPr="0092417E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left="103"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Пакет 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  <w:hideMark/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30F" w:rsidRPr="003F3F08" w:rsidTr="00CC05E5">
        <w:trPr>
          <w:trHeight w:hRule="exact" w:val="112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</w:tcPr>
          <w:p w:rsidR="0037530F" w:rsidRPr="003F3F08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left="103" w:right="2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</w:tcPr>
          <w:p w:rsidR="0037530F" w:rsidRPr="0092417E" w:rsidRDefault="0037530F" w:rsidP="00CC05E5">
            <w:pPr>
              <w:widowControl w:val="0"/>
              <w:autoSpaceDE w:val="0"/>
              <w:autoSpaceDN w:val="0"/>
              <w:spacing w:after="0" w:line="240" w:lineRule="auto"/>
              <w:ind w:left="103" w:right="218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вредност (1+2)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</w:tcPr>
          <w:p w:rsidR="0037530F" w:rsidRPr="003F3F08" w:rsidRDefault="0037530F" w:rsidP="00CC05E5">
            <w:pPr>
              <w:widowControl w:val="0"/>
              <w:tabs>
                <w:tab w:val="left" w:pos="2309"/>
              </w:tabs>
              <w:autoSpaceDE w:val="0"/>
              <w:autoSpaceDN w:val="0"/>
              <w:spacing w:after="0" w:line="240" w:lineRule="auto"/>
              <w:ind w:left="103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30F" w:rsidTr="00CC0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135" w:type="dxa"/>
            <w:gridSpan w:val="2"/>
          </w:tcPr>
          <w:p w:rsidR="0037530F" w:rsidRPr="003F3F08" w:rsidRDefault="0037530F" w:rsidP="00CC05E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Pr="0092417E" w:rsidRDefault="0037530F" w:rsidP="00CC05E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92417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3.</w:t>
            </w:r>
          </w:p>
          <w:p w:rsidR="0037530F" w:rsidRDefault="0037530F" w:rsidP="00CC05E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2"/>
          </w:tcPr>
          <w:p w:rsidR="0037530F" w:rsidRPr="0092417E" w:rsidRDefault="0037530F" w:rsidP="00CC05E5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92417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Додељен буџет за куповину телефонских апарата по цени од 1,00 дин.</w:t>
            </w:r>
          </w:p>
          <w:p w:rsidR="0037530F" w:rsidRDefault="0037530F" w:rsidP="00CC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3"/>
          </w:tcPr>
          <w:p w:rsidR="0037530F" w:rsidRDefault="0037530F" w:rsidP="00CC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Default="0037530F" w:rsidP="00CC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37530F" w:rsidRDefault="0037530F" w:rsidP="00CC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30F" w:rsidRDefault="0037530F" w:rsidP="00CC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123" w:rsidRDefault="00AC7123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AC7123" w:rsidRPr="006F4388" w:rsidRDefault="00AC7123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37530F" w:rsidRDefault="0037530F" w:rsidP="0037530F">
      <w:pPr>
        <w:shd w:val="clear" w:color="auto" w:fill="FFFFFF"/>
        <w:rPr>
          <w:rFonts w:ascii="Times New Roman" w:eastAsia="Times New Roman" w:hAnsi="Times New Roman" w:cs="Times New Roman"/>
          <w:color w:val="1D1D1D"/>
          <w:sz w:val="28"/>
          <w:szCs w:val="28"/>
          <w:lang w:val="sr-Cyrl-BA"/>
        </w:rPr>
      </w:pPr>
    </w:p>
    <w:p w:rsidR="00794232" w:rsidRDefault="00794232" w:rsidP="0037530F">
      <w:pPr>
        <w:shd w:val="clear" w:color="auto" w:fill="FFFFFF"/>
        <w:rPr>
          <w:rFonts w:ascii="Times New Roman" w:eastAsia="Times New Roman" w:hAnsi="Times New Roman" w:cs="Times New Roman"/>
          <w:color w:val="1D1D1D"/>
          <w:sz w:val="28"/>
          <w:szCs w:val="28"/>
          <w:lang w:val="sr-Cyrl-BA"/>
        </w:rPr>
      </w:pPr>
    </w:p>
    <w:p w:rsidR="00794232" w:rsidRDefault="00794232" w:rsidP="0037530F">
      <w:pPr>
        <w:shd w:val="clear" w:color="auto" w:fill="FFFFFF"/>
        <w:rPr>
          <w:rFonts w:ascii="Times New Roman" w:eastAsia="Times New Roman" w:hAnsi="Times New Roman" w:cs="Times New Roman"/>
          <w:color w:val="1D1D1D"/>
          <w:sz w:val="28"/>
          <w:szCs w:val="28"/>
          <w:lang w:val="sr-Cyrl-BA"/>
        </w:rPr>
      </w:pPr>
    </w:p>
    <w:p w:rsidR="00794232" w:rsidRPr="003F3F08" w:rsidRDefault="00794232" w:rsidP="0037530F">
      <w:pPr>
        <w:shd w:val="clear" w:color="auto" w:fill="FFFFFF"/>
        <w:rPr>
          <w:rFonts w:ascii="Times New Roman" w:eastAsia="Times New Roman" w:hAnsi="Times New Roman" w:cs="Times New Roman"/>
          <w:color w:val="1D1D1D"/>
          <w:sz w:val="28"/>
          <w:szCs w:val="28"/>
          <w:lang w:val="sr-Cyrl-BA"/>
        </w:rPr>
      </w:pPr>
    </w:p>
    <w:p w:rsidR="0037530F" w:rsidRPr="008957E4" w:rsidRDefault="0037530F" w:rsidP="0037530F">
      <w:pPr>
        <w:shd w:val="clear" w:color="auto" w:fill="FFFFFF"/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</w:pPr>
      <w:r w:rsidRPr="008957E4"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sr-Cyrl-BA"/>
        </w:rPr>
        <w:t xml:space="preserve">Табела цене </w:t>
      </w:r>
      <w:r w:rsidRPr="008957E4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t>за зону 0а</w:t>
      </w:r>
      <w:r w:rsidRPr="008957E4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  <w:lang w:val="sr-Cyrl-RS"/>
        </w:rPr>
        <w:t xml:space="preserve"> </w:t>
      </w:r>
      <w:r w:rsidRPr="008957E4"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>:</w:t>
      </w:r>
    </w:p>
    <w:tbl>
      <w:tblPr>
        <w:tblW w:w="10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3731"/>
        <w:gridCol w:w="2690"/>
        <w:gridCol w:w="17"/>
        <w:gridCol w:w="2609"/>
      </w:tblGrid>
      <w:tr w:rsidR="0037530F" w:rsidRPr="003F3F08" w:rsidTr="00CC05E5">
        <w:trPr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30F" w:rsidRPr="003F3F08" w:rsidRDefault="0037530F" w:rsidP="00CC05E5">
            <w:pPr>
              <w:ind w:left="360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sr-Cyrl-BA"/>
              </w:rPr>
            </w:pPr>
            <w:r w:rsidRPr="003F3F0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sr-Cyrl-BA"/>
              </w:rPr>
              <w:t>Зона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30F" w:rsidRPr="003F3F08" w:rsidRDefault="0037530F" w:rsidP="00CC05E5">
            <w:pPr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sr-Cyrl-BA"/>
              </w:rPr>
            </w:pPr>
            <w:r w:rsidRPr="003F3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BA"/>
              </w:rPr>
              <w:t>Цена долазног минута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30F" w:rsidRPr="003F3F08" w:rsidRDefault="0037530F" w:rsidP="00CC05E5">
            <w:pPr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sr-Cyrl-BA"/>
              </w:rPr>
            </w:pPr>
            <w:r w:rsidRPr="003F3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BA"/>
              </w:rPr>
              <w:t>Цена одлазног минута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30F" w:rsidRPr="003F3F08" w:rsidRDefault="0037530F" w:rsidP="00CC05E5">
            <w:pPr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sr-Cyrl-BA"/>
              </w:rPr>
            </w:pPr>
            <w:r w:rsidRPr="003F3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BA"/>
              </w:rPr>
              <w:t>Цена СМС</w:t>
            </w:r>
          </w:p>
        </w:tc>
      </w:tr>
      <w:tr w:rsidR="0037530F" w:rsidRPr="003F3F08" w:rsidTr="00CC05E5">
        <w:trPr>
          <w:jc w:val="center"/>
        </w:trPr>
        <w:tc>
          <w:tcPr>
            <w:tcW w:w="1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sr-Cyrl-BA"/>
              </w:rPr>
            </w:pPr>
            <w:r w:rsidRPr="003F3F0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0a( </w:t>
            </w:r>
            <w:r w:rsidRPr="003F3F0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sr-Cyrl-BA"/>
              </w:rPr>
              <w:t>Грчка)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  <w:r w:rsidRPr="003F3F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  <w:r w:rsidRPr="003F3F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         </w:t>
            </w:r>
          </w:p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  <w:r w:rsidRPr="003F3F0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37530F" w:rsidRPr="003F3F08" w:rsidTr="00CC05E5">
        <w:trPr>
          <w:jc w:val="center"/>
        </w:trPr>
        <w:tc>
          <w:tcPr>
            <w:tcW w:w="1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37530F" w:rsidRPr="003F3F08" w:rsidTr="00CC05E5">
        <w:trPr>
          <w:jc w:val="center"/>
        </w:trPr>
        <w:tc>
          <w:tcPr>
            <w:tcW w:w="1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30F" w:rsidRPr="008957E4" w:rsidRDefault="0037530F" w:rsidP="00CC05E5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sr-Cyrl-R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37530F" w:rsidRPr="003F3F08" w:rsidTr="00CC05E5">
        <w:trPr>
          <w:trHeight w:val="80"/>
          <w:jc w:val="center"/>
        </w:trPr>
        <w:tc>
          <w:tcPr>
            <w:tcW w:w="1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30F" w:rsidRPr="008957E4" w:rsidRDefault="0037530F" w:rsidP="00CC05E5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sr-Cyrl-RS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37530F" w:rsidRPr="003F3F08" w:rsidTr="00CC05E5">
        <w:trPr>
          <w:trHeight w:val="80"/>
          <w:jc w:val="center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30F" w:rsidRPr="003F3F08" w:rsidRDefault="0037530F" w:rsidP="00CC05E5">
            <w:pP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30F" w:rsidRPr="003F3F08" w:rsidRDefault="0037530F" w:rsidP="00CC05E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37530F" w:rsidRPr="003F3F08" w:rsidRDefault="0037530F" w:rsidP="0037530F">
      <w:pPr>
        <w:ind w:right="81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37530F" w:rsidRDefault="0037530F" w:rsidP="0037530F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7530F" w:rsidRDefault="0037530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530F" w:rsidRDefault="0037530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530F" w:rsidRDefault="0037530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4232" w:rsidRPr="00794232" w:rsidRDefault="00794232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" w:name="_GoBack"/>
      <w:bookmarkEnd w:id="1"/>
    </w:p>
    <w:p w:rsidR="0037530F" w:rsidRDefault="0037530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530F" w:rsidRDefault="0037530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652F5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7D3E5A" w:rsidRPr="0037530F" w:rsidRDefault="007D3E5A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A50416" w:rsidRDefault="0027296C" w:rsidP="00A504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A50416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1452"/>
    <w:multiLevelType w:val="hybridMultilevel"/>
    <w:tmpl w:val="BDE8FAAC"/>
    <w:lvl w:ilvl="0" w:tplc="84843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E22FA"/>
    <w:multiLevelType w:val="hybridMultilevel"/>
    <w:tmpl w:val="B95A5314"/>
    <w:lvl w:ilvl="0" w:tplc="BC627F8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3572D"/>
    <w:multiLevelType w:val="hybridMultilevel"/>
    <w:tmpl w:val="C6785C00"/>
    <w:lvl w:ilvl="0" w:tplc="51A0C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D1382"/>
    <w:multiLevelType w:val="hybridMultilevel"/>
    <w:tmpl w:val="AD7C0ACA"/>
    <w:lvl w:ilvl="0" w:tplc="0076FD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B5393"/>
    <w:multiLevelType w:val="hybridMultilevel"/>
    <w:tmpl w:val="6B62267C"/>
    <w:lvl w:ilvl="0" w:tplc="3A66E1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416B8"/>
    <w:rsid w:val="0006069D"/>
    <w:rsid w:val="000710B7"/>
    <w:rsid w:val="000D0240"/>
    <w:rsid w:val="000E3DB4"/>
    <w:rsid w:val="000E4E7B"/>
    <w:rsid w:val="00123ACD"/>
    <w:rsid w:val="001319E5"/>
    <w:rsid w:val="00142036"/>
    <w:rsid w:val="001E1779"/>
    <w:rsid w:val="002374CA"/>
    <w:rsid w:val="002526D4"/>
    <w:rsid w:val="00253582"/>
    <w:rsid w:val="002611DB"/>
    <w:rsid w:val="002652F5"/>
    <w:rsid w:val="00270A0C"/>
    <w:rsid w:val="0027296C"/>
    <w:rsid w:val="00285BD0"/>
    <w:rsid w:val="002B32F7"/>
    <w:rsid w:val="002B7485"/>
    <w:rsid w:val="002F7CF5"/>
    <w:rsid w:val="00305771"/>
    <w:rsid w:val="00330752"/>
    <w:rsid w:val="0034623C"/>
    <w:rsid w:val="0037530F"/>
    <w:rsid w:val="00396B49"/>
    <w:rsid w:val="0040164A"/>
    <w:rsid w:val="004179B7"/>
    <w:rsid w:val="00431BFF"/>
    <w:rsid w:val="00450BDD"/>
    <w:rsid w:val="00456C08"/>
    <w:rsid w:val="00467B91"/>
    <w:rsid w:val="004B037E"/>
    <w:rsid w:val="004B54E2"/>
    <w:rsid w:val="004C5547"/>
    <w:rsid w:val="005222D0"/>
    <w:rsid w:val="0052585F"/>
    <w:rsid w:val="00550805"/>
    <w:rsid w:val="005916CF"/>
    <w:rsid w:val="005A1F74"/>
    <w:rsid w:val="005D2192"/>
    <w:rsid w:val="00606144"/>
    <w:rsid w:val="00624395"/>
    <w:rsid w:val="00646E1B"/>
    <w:rsid w:val="00653980"/>
    <w:rsid w:val="00654CAF"/>
    <w:rsid w:val="006A5E69"/>
    <w:rsid w:val="006B32EE"/>
    <w:rsid w:val="006B4035"/>
    <w:rsid w:val="006D4597"/>
    <w:rsid w:val="006E538D"/>
    <w:rsid w:val="006F2C9B"/>
    <w:rsid w:val="006F4388"/>
    <w:rsid w:val="00711EE0"/>
    <w:rsid w:val="0071593A"/>
    <w:rsid w:val="00724BEA"/>
    <w:rsid w:val="007644BA"/>
    <w:rsid w:val="00792CBB"/>
    <w:rsid w:val="00794232"/>
    <w:rsid w:val="007C4396"/>
    <w:rsid w:val="007D060D"/>
    <w:rsid w:val="007D3E5A"/>
    <w:rsid w:val="007E39E1"/>
    <w:rsid w:val="008051BA"/>
    <w:rsid w:val="00822D9A"/>
    <w:rsid w:val="00840679"/>
    <w:rsid w:val="008961E4"/>
    <w:rsid w:val="00897FB1"/>
    <w:rsid w:val="008D5CC2"/>
    <w:rsid w:val="008D6FCC"/>
    <w:rsid w:val="008E6346"/>
    <w:rsid w:val="0092159D"/>
    <w:rsid w:val="0095767F"/>
    <w:rsid w:val="00961195"/>
    <w:rsid w:val="00966E21"/>
    <w:rsid w:val="00984AB0"/>
    <w:rsid w:val="00985F25"/>
    <w:rsid w:val="009B2E7D"/>
    <w:rsid w:val="009C3A81"/>
    <w:rsid w:val="009E1D64"/>
    <w:rsid w:val="009F0BD2"/>
    <w:rsid w:val="00A50416"/>
    <w:rsid w:val="00A71CED"/>
    <w:rsid w:val="00A928CC"/>
    <w:rsid w:val="00AC7123"/>
    <w:rsid w:val="00B050A7"/>
    <w:rsid w:val="00BA7F17"/>
    <w:rsid w:val="00BB2F6D"/>
    <w:rsid w:val="00BB6830"/>
    <w:rsid w:val="00BB7AD5"/>
    <w:rsid w:val="00BE751E"/>
    <w:rsid w:val="00C21DB1"/>
    <w:rsid w:val="00C32EF8"/>
    <w:rsid w:val="00C40D22"/>
    <w:rsid w:val="00C50A07"/>
    <w:rsid w:val="00C5403B"/>
    <w:rsid w:val="00C654E5"/>
    <w:rsid w:val="00CD25E9"/>
    <w:rsid w:val="00CF37AD"/>
    <w:rsid w:val="00CF409D"/>
    <w:rsid w:val="00D256CF"/>
    <w:rsid w:val="00D368B9"/>
    <w:rsid w:val="00DA70E5"/>
    <w:rsid w:val="00E121C3"/>
    <w:rsid w:val="00E13F57"/>
    <w:rsid w:val="00E509AC"/>
    <w:rsid w:val="00E8027C"/>
    <w:rsid w:val="00E8551A"/>
    <w:rsid w:val="00EA0EA4"/>
    <w:rsid w:val="00EF7147"/>
    <w:rsid w:val="00F006CD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375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375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3</cp:revision>
  <cp:lastPrinted>2026-05-14T10:10:00Z</cp:lastPrinted>
  <dcterms:created xsi:type="dcterms:W3CDTF">2026-05-14T07:14:00Z</dcterms:created>
  <dcterms:modified xsi:type="dcterms:W3CDTF">2026-05-14T10:20:00Z</dcterms:modified>
</cp:coreProperties>
</file>