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85D8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E3297C" w:rsidRDefault="009438E3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FD0E66">
        <w:rPr>
          <w:rFonts w:ascii="Arial" w:hAnsi="Arial" w:cs="Arial"/>
          <w:sz w:val="24"/>
          <w:szCs w:val="24"/>
        </w:rPr>
        <w:t>2</w:t>
      </w:r>
      <w:r w:rsidR="00E3297C">
        <w:rPr>
          <w:rFonts w:ascii="Arial" w:hAnsi="Arial" w:cs="Arial"/>
          <w:sz w:val="24"/>
          <w:szCs w:val="24"/>
          <w:lang w:val="sr-Cyrl-RS"/>
        </w:rPr>
        <w:t>16</w:t>
      </w:r>
    </w:p>
    <w:p w:rsidR="000D0240" w:rsidRPr="00C85D8C" w:rsidRDefault="00201EC8" w:rsidP="005E211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E3297C">
        <w:rPr>
          <w:rFonts w:ascii="Arial" w:hAnsi="Arial" w:cs="Arial"/>
          <w:sz w:val="24"/>
          <w:szCs w:val="24"/>
          <w:lang w:val="sr-Cyrl-RS"/>
        </w:rPr>
        <w:t>05.05.2026</w:t>
      </w: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E3297C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E3297C">
        <w:rPr>
          <w:rFonts w:ascii="Arial" w:hAnsi="Arial" w:cs="Arial"/>
          <w:sz w:val="24"/>
          <w:szCs w:val="24"/>
          <w:lang w:val="sr-Cyrl-RS"/>
        </w:rPr>
        <w:t>214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D0E66">
        <w:rPr>
          <w:rFonts w:ascii="Arial" w:hAnsi="Arial" w:cs="Arial"/>
          <w:sz w:val="24"/>
          <w:szCs w:val="24"/>
          <w:lang w:val="sr-Cyrl-RS"/>
        </w:rPr>
        <w:t>05</w:t>
      </w:r>
      <w:r w:rsidR="00C2472A">
        <w:rPr>
          <w:rFonts w:ascii="Arial" w:hAnsi="Arial" w:cs="Arial"/>
          <w:sz w:val="24"/>
          <w:szCs w:val="24"/>
          <w:lang w:val="sr-Cyrl-CS"/>
        </w:rPr>
        <w:t>.</w:t>
      </w:r>
      <w:r w:rsidR="00C85D8C">
        <w:rPr>
          <w:rFonts w:ascii="Arial" w:hAnsi="Arial" w:cs="Arial"/>
          <w:sz w:val="24"/>
          <w:szCs w:val="24"/>
          <w:lang w:val="sr-Latn-CS"/>
        </w:rPr>
        <w:t>0</w:t>
      </w:r>
      <w:r w:rsidR="00FD0E66">
        <w:rPr>
          <w:rFonts w:ascii="Arial" w:hAnsi="Arial" w:cs="Arial"/>
          <w:sz w:val="24"/>
          <w:szCs w:val="24"/>
          <w:lang w:val="sr-Cyrl-RS"/>
        </w:rPr>
        <w:t>5</w:t>
      </w:r>
      <w:r w:rsidR="001103A8">
        <w:rPr>
          <w:rFonts w:ascii="Arial" w:hAnsi="Arial" w:cs="Arial"/>
          <w:sz w:val="24"/>
          <w:szCs w:val="24"/>
          <w:lang w:val="sr-Latn-CS"/>
        </w:rPr>
        <w:t>.202</w:t>
      </w:r>
      <w:r w:rsidR="00E3297C">
        <w:rPr>
          <w:rFonts w:ascii="Arial" w:hAnsi="Arial" w:cs="Arial"/>
          <w:sz w:val="24"/>
          <w:szCs w:val="24"/>
          <w:lang w:val="sr-Cyrl-RS"/>
        </w:rPr>
        <w:t>6</w:t>
      </w:r>
      <w:r w:rsidR="00201EC8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Default="00A928CC" w:rsidP="001103A8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E3297C">
        <w:rPr>
          <w:rFonts w:ascii="Arial" w:hAnsi="Arial" w:cs="Arial"/>
          <w:sz w:val="24"/>
          <w:szCs w:val="24"/>
          <w:lang w:val="sr-Cyrl-CS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201EC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Услуге смештаја за </w:t>
            </w:r>
            <w:r w:rsidR="00E3297C">
              <w:rPr>
                <w:rFonts w:ascii="Arial" w:hAnsi="Arial" w:cs="Arial"/>
                <w:sz w:val="24"/>
                <w:szCs w:val="24"/>
                <w:lang w:val="sr-Cyrl-CS"/>
              </w:rPr>
              <w:t>редовне програме – Градска слава, Музички фестивал Нисомниа, НИМУС, Сајам књига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 партијама:</w:t>
            </w:r>
          </w:p>
          <w:p w:rsidR="00201EC8" w:rsidRPr="00C85D8C" w:rsidRDefault="00201EC8" w:rsidP="00FD0E66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201EC8" w:rsidRDefault="00201EC8" w:rsidP="00201E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партија – </w:t>
            </w:r>
            <w:r w:rsidR="00E3297C">
              <w:rPr>
                <w:rFonts w:ascii="Arial" w:hAnsi="Arial" w:cs="Arial"/>
                <w:sz w:val="24"/>
                <w:szCs w:val="24"/>
                <w:lang w:val="sr-Cyrl-CS"/>
              </w:rPr>
              <w:t>хотелски смештај са четири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звездице;</w:t>
            </w:r>
          </w:p>
          <w:p w:rsidR="00201EC8" w:rsidRDefault="00201EC8" w:rsidP="00201E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</w:t>
            </w:r>
            <w:r w:rsidR="00E3297C">
              <w:rPr>
                <w:rFonts w:ascii="Arial" w:hAnsi="Arial" w:cs="Arial"/>
                <w:sz w:val="24"/>
                <w:szCs w:val="24"/>
                <w:lang w:val="sr-Cyrl-CS"/>
              </w:rPr>
              <w:t>ија – хотелски смештај са пет звездица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;</w:t>
            </w:r>
          </w:p>
          <w:p w:rsidR="00201EC8" w:rsidRPr="00201EC8" w:rsidRDefault="00E3297C" w:rsidP="00201EC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–  смештај без категорије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F6F44" w:rsidRPr="00102761" w:rsidRDefault="00102761" w:rsidP="0010276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Карактеристике и функционални захтеви: редовно одржавање хигијене соба, климатизација, бежични интернет и расположиво особље 24 сата.</w:t>
            </w: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дозволу за обављање делатности из предметне набавке;</w:t>
            </w:r>
          </w:p>
          <w:p w:rsidR="00102761" w:rsidRPr="00102761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:rsidR="00102761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има потребан технички капацитет неопходан за извршење предметне услуге и то: расположиво особље 24 сата, климатизација, бежични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интернет, као и редовно одржавање хигијене соба.</w:t>
            </w:r>
          </w:p>
          <w:p w:rsidR="00102761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кадровским капацитетом и то:</w:t>
            </w:r>
          </w:p>
          <w:p w:rsidR="00637AB5" w:rsidRDefault="00637AB5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 моменту подношења понуде има у радном односу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неодређено или одређено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по другом основу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уговор о делу, уговор о привременим и повременим пословима, уговор о допунском раду...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минимум 5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пет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запослена лица која раде на пословима који су у непосредној вези са предметом набавке на коју се закон не примењује</w:t>
            </w:r>
          </w:p>
          <w:p w:rsidR="00637AB5" w:rsidRPr="00637AB5" w:rsidRDefault="00637AB5" w:rsidP="00637AB5">
            <w:pPr>
              <w:ind w:left="45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Писана изјава привредног субјекта дата под кривичном и материјалном </w:t>
            </w:r>
            <w:r w:rsidR="00F57F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одговорношћу на меморандуму привредног субјекта да испуњава услове из предметне набавке на коју се закон не примењује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1103A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E3297C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FD0E66">
              <w:rPr>
                <w:rFonts w:ascii="Arial" w:hAnsi="Arial" w:cs="Arial"/>
                <w:sz w:val="24"/>
                <w:szCs w:val="24"/>
              </w:rPr>
              <w:t>.0</w:t>
            </w:r>
            <w:r w:rsidR="00FD0E6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FD0E66">
              <w:rPr>
                <w:rFonts w:ascii="Arial" w:hAnsi="Arial" w:cs="Arial"/>
                <w:sz w:val="24"/>
                <w:szCs w:val="24"/>
              </w:rPr>
              <w:t>.202</w:t>
            </w:r>
            <w:r w:rsidR="00E3297C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FD0E66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</w:t>
            </w:r>
            <w:r w:rsidR="00E3297C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FD0E66">
              <w:rPr>
                <w:rFonts w:ascii="Arial" w:hAnsi="Arial" w:cs="Arial"/>
                <w:sz w:val="24"/>
                <w:szCs w:val="24"/>
              </w:rPr>
              <w:t>.0</w:t>
            </w:r>
            <w:r w:rsidR="00FD0E6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FD0E66">
              <w:rPr>
                <w:rFonts w:ascii="Arial" w:hAnsi="Arial" w:cs="Arial"/>
                <w:sz w:val="24"/>
                <w:szCs w:val="24"/>
              </w:rPr>
              <w:t>.202</w:t>
            </w:r>
            <w:r w:rsidR="00E3297C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FD0E66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E329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674C31" w:rsidRDefault="00F57FC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предметне услуге уговара на период од годину дана, почев од дана потписивања уговора, а до максималне процењене вредности која је</w:t>
            </w:r>
            <w:r w:rsidR="00E329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предвиђена Планом набавки које су изузете од примене закона  за 2026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 годину. Наручилац није у обавези да реализује целокупан износ процењене вредности. Извршење услуге смештаја вршиће се сукцесивно по захтеву Наручиоца.</w:t>
            </w:r>
          </w:p>
          <w:p w:rsidR="0071593A" w:rsidRPr="0071593A" w:rsidRDefault="00BA7F17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Плаћање се врши у року од најдуже 45 дана од дана регистровања фактуре у ЦРФ, а која се испоставља након сваке извршене услуге.</w:t>
            </w:r>
          </w:p>
          <w:p w:rsidR="008834E9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8834E9" w:rsidRPr="00B0562C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5E2113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DF6F44" w:rsidRDefault="00DF6F44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71593A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3301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1E1779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330100" w:rsidRPr="00FD0E66" w:rsidRDefault="006A5E69" w:rsidP="00FD0E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 Услуге смештаја за </w:t>
      </w:r>
      <w:r w:rsidR="00E3297C">
        <w:rPr>
          <w:rFonts w:ascii="Arial" w:hAnsi="Arial" w:cs="Arial"/>
          <w:sz w:val="24"/>
          <w:szCs w:val="24"/>
          <w:lang w:val="sr-Cyrl-CS"/>
        </w:rPr>
        <w:t xml:space="preserve">редовне програме – Градска слава, Музички фестивал Нисомниа,НИМУС, Сајам књига  </w:t>
      </w:r>
      <w:r w:rsidR="00E3297C">
        <w:rPr>
          <w:rFonts w:ascii="Arial" w:hAnsi="Arial" w:cs="Arial"/>
          <w:sz w:val="24"/>
          <w:szCs w:val="24"/>
          <w:lang w:val="en-US"/>
        </w:rPr>
        <w:t>(</w:t>
      </w:r>
      <w:r w:rsidR="00E3297C">
        <w:rPr>
          <w:rFonts w:ascii="Arial" w:hAnsi="Arial" w:cs="Arial"/>
          <w:sz w:val="24"/>
          <w:szCs w:val="24"/>
          <w:lang w:val="sr-Cyrl-RS"/>
        </w:rPr>
        <w:t>обликована у партије</w:t>
      </w:r>
      <w:r w:rsidR="00E3297C">
        <w:rPr>
          <w:rFonts w:ascii="Arial" w:hAnsi="Arial" w:cs="Arial"/>
          <w:sz w:val="24"/>
          <w:szCs w:val="24"/>
          <w:lang w:val="en-US"/>
        </w:rPr>
        <w:t>)</w:t>
      </w:r>
      <w:r w:rsidR="00E3297C">
        <w:rPr>
          <w:rFonts w:ascii="Arial" w:hAnsi="Arial" w:cs="Arial"/>
          <w:sz w:val="24"/>
          <w:szCs w:val="24"/>
          <w:lang w:val="sr-Cyrl-RS"/>
        </w:rPr>
        <w:t>:</w:t>
      </w:r>
    </w:p>
    <w:p w:rsidR="00FD0E66" w:rsidRPr="00FD0E66" w:rsidRDefault="00FD0E66" w:rsidP="00FD0E6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30100" w:rsidRPr="00330100" w:rsidRDefault="00330100" w:rsidP="0033010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E3297C">
        <w:rPr>
          <w:rFonts w:ascii="Arial" w:hAnsi="Arial" w:cs="Arial"/>
          <w:sz w:val="24"/>
          <w:szCs w:val="24"/>
          <w:lang w:val="sr-Cyrl-CS"/>
        </w:rPr>
        <w:t>артија – хотелски смештај са четири</w:t>
      </w:r>
      <w:r>
        <w:rPr>
          <w:rFonts w:ascii="Arial" w:hAnsi="Arial" w:cs="Arial"/>
          <w:sz w:val="24"/>
          <w:szCs w:val="24"/>
          <w:lang w:val="sr-Cyrl-CS"/>
        </w:rPr>
        <w:t xml:space="preserve"> звездице</w:t>
      </w:r>
      <w:r w:rsidR="00C85D8C">
        <w:rPr>
          <w:rFonts w:ascii="Arial" w:hAnsi="Arial" w:cs="Arial"/>
          <w:sz w:val="24"/>
          <w:szCs w:val="24"/>
          <w:lang w:val="sr-Cyrl-CS"/>
        </w:rPr>
        <w:t>;</w:t>
      </w:r>
    </w:p>
    <w:p w:rsidR="00330100" w:rsidRPr="00330100" w:rsidRDefault="00E3297C" w:rsidP="0033010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партија – хотелски смештај са пет звездица</w:t>
      </w:r>
      <w:r>
        <w:rPr>
          <w:rFonts w:ascii="Arial" w:hAnsi="Arial" w:cs="Arial"/>
          <w:sz w:val="24"/>
          <w:szCs w:val="24"/>
          <w:lang w:val="sr-Cyrl-CS"/>
        </w:rPr>
        <w:t>;</w:t>
      </w:r>
    </w:p>
    <w:p w:rsidR="00330100" w:rsidRPr="00330100" w:rsidRDefault="00330100" w:rsidP="0033010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партија –</w:t>
      </w:r>
      <w:r w:rsidR="00E3297C">
        <w:rPr>
          <w:rFonts w:ascii="Arial" w:hAnsi="Arial" w:cs="Arial"/>
          <w:sz w:val="24"/>
          <w:szCs w:val="24"/>
          <w:lang w:val="sr-Cyrl-CS"/>
        </w:rPr>
        <w:t xml:space="preserve">  смештај без категорије</w:t>
      </w:r>
      <w:r w:rsidR="00C85D8C">
        <w:rPr>
          <w:rFonts w:ascii="Arial" w:hAnsi="Arial" w:cs="Arial"/>
          <w:sz w:val="24"/>
          <w:szCs w:val="24"/>
          <w:lang w:val="sr-Cyrl-CS"/>
        </w:rPr>
        <w:t>.</w:t>
      </w:r>
    </w:p>
    <w:p w:rsidR="00330100" w:rsidRPr="009C3A81" w:rsidRDefault="00330100" w:rsidP="00330100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>заокружити за коју од наведених партија понуђач подноси понуду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330100" w:rsidRPr="00C87F49" w:rsidRDefault="00330100" w:rsidP="00330100">
      <w:pPr>
        <w:rPr>
          <w:lang w:val="sr-Cyrl-RS"/>
        </w:rPr>
      </w:pPr>
    </w:p>
    <w:p w:rsidR="00330100" w:rsidRPr="00CF525F" w:rsidRDefault="000B547C" w:rsidP="00330100">
      <w:pPr>
        <w:pStyle w:val="Heading1"/>
        <w:jc w:val="center"/>
        <w:rPr>
          <w:lang w:val="sr-Cyrl-CS"/>
        </w:rPr>
      </w:pPr>
      <w:r>
        <w:rPr>
          <w:lang w:val="sr-Cyrl-CS"/>
        </w:rPr>
        <w:t>ОБРАЗАЦ СТРУКТУРЕ ЦЕНЕ ЗА</w:t>
      </w:r>
      <w:r w:rsidR="00330100" w:rsidRPr="00CF525F">
        <w:rPr>
          <w:lang w:val="sr-Cyrl-CS"/>
        </w:rPr>
        <w:t xml:space="preserve"> </w:t>
      </w:r>
      <w:r w:rsidR="00C87F49">
        <w:rPr>
          <w:lang w:val="sr-Cyrl-RS"/>
        </w:rPr>
        <w:t>1</w:t>
      </w:r>
      <w:r>
        <w:rPr>
          <w:lang w:val="sr-Cyrl-CS"/>
        </w:rPr>
        <w:t xml:space="preserve">. </w:t>
      </w:r>
      <w:r w:rsidR="00330100" w:rsidRPr="00CF525F">
        <w:rPr>
          <w:lang w:val="sr-Cyrl-CS"/>
        </w:rPr>
        <w:t>ПАРТИЈ</w:t>
      </w:r>
      <w:r>
        <w:rPr>
          <w:lang w:val="sr-Cyrl-CS"/>
        </w:rPr>
        <w:t>У</w:t>
      </w:r>
      <w:r w:rsidR="00330100">
        <w:rPr>
          <w:lang w:val="sr-Cyrl-CS"/>
        </w:rPr>
        <w:t xml:space="preserve"> – ХОТЕЛСКИ СМЕШТАЈ СА ЧЕТИРИ</w:t>
      </w:r>
      <w:r w:rsidR="00330100" w:rsidRPr="00CF525F">
        <w:rPr>
          <w:lang w:val="sr-Cyrl-CS"/>
        </w:rPr>
        <w:t xml:space="preserve"> ЗВЕЗДИЦЕ</w:t>
      </w:r>
    </w:p>
    <w:p w:rsidR="00330100" w:rsidRDefault="00330100" w:rsidP="00330100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330100" w:rsidRPr="00D76502" w:rsidTr="00E0381C">
        <w:trPr>
          <w:trHeight w:val="625"/>
        </w:trPr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330100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330100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330100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330100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lastRenderedPageBreak/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t>УКУПНО</w:t>
            </w: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330100" w:rsidRDefault="00330100" w:rsidP="00330100">
      <w:pPr>
        <w:jc w:val="both"/>
        <w:rPr>
          <w:rFonts w:ascii="Calibri" w:eastAsia="Calibri" w:hAnsi="Calibri" w:cs="Times New Roman"/>
          <w:i/>
          <w:iCs/>
          <w:lang w:val="sr-Cyrl-CS"/>
        </w:rPr>
      </w:pPr>
    </w:p>
    <w:p w:rsidR="00330100" w:rsidRPr="00FB4774" w:rsidRDefault="00330100" w:rsidP="00330100">
      <w:pPr>
        <w:rPr>
          <w:rFonts w:ascii="Arial" w:hAnsi="Arial" w:cs="Arial"/>
          <w:lang w:val="sr-Cyrl-CS"/>
        </w:rPr>
      </w:pP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Локација хотела</w:t>
      </w:r>
      <w:r>
        <w:rPr>
          <w:rFonts w:ascii="Arial" w:eastAsia="Calibri" w:hAnsi="Arial" w:cs="Arial"/>
          <w:sz w:val="24"/>
          <w:szCs w:val="24"/>
          <w:lang w:val="sr-Cyrl-CS"/>
        </w:rPr>
        <w:t xml:space="preserve"> треба да је НА ТЕРИТОРИЈИ Града Ниша.</w:t>
      </w: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Категоризација хотела</w:t>
      </w:r>
      <w:r>
        <w:rPr>
          <w:rFonts w:ascii="Arial" w:eastAsia="Calibri" w:hAnsi="Arial" w:cs="Arial"/>
          <w:sz w:val="24"/>
          <w:szCs w:val="24"/>
          <w:lang w:val="sr-Cyrl-CS"/>
        </w:rPr>
        <w:t xml:space="preserve"> четири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 xml:space="preserve"> звездице.</w:t>
      </w: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Планиране оквирне количине</w:t>
      </w:r>
      <w:r w:rsidR="0089528D">
        <w:rPr>
          <w:rFonts w:ascii="Arial" w:eastAsia="Calibri" w:hAnsi="Arial" w:cs="Arial"/>
          <w:sz w:val="24"/>
          <w:szCs w:val="24"/>
          <w:lang w:val="sr-Cyrl-CS"/>
        </w:rPr>
        <w:t xml:space="preserve"> су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00 ноћења у</w:t>
      </w:r>
      <w:r>
        <w:rPr>
          <w:rFonts w:ascii="Arial" w:hAnsi="Arial" w:cs="Arial"/>
          <w:sz w:val="24"/>
          <w:szCs w:val="24"/>
          <w:lang w:val="sr-Cyrl-CS"/>
        </w:rPr>
        <w:t xml:space="preserve"> току трајања уговора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 xml:space="preserve"> и то:</w:t>
      </w:r>
    </w:p>
    <w:p w:rsidR="0033010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sz w:val="24"/>
          <w:szCs w:val="24"/>
          <w:lang w:val="sr-Cyrl-CS"/>
        </w:rPr>
        <w:t>ноћење са доручком, боравишном таксом и осиг</w:t>
      </w:r>
      <w:r w:rsidR="0089528D">
        <w:rPr>
          <w:rFonts w:ascii="Arial" w:eastAsia="Calibri" w:hAnsi="Arial" w:cs="Arial"/>
          <w:sz w:val="24"/>
          <w:szCs w:val="24"/>
          <w:lang w:val="sr-Cyrl-CS"/>
        </w:rPr>
        <w:t>урањем у једнокреветној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ноћење са доручком, боравишном та</w:t>
      </w:r>
      <w:r w:rsidR="0089528D">
        <w:rPr>
          <w:rFonts w:ascii="Arial" w:eastAsia="Calibri" w:hAnsi="Arial" w:cs="Arial"/>
          <w:sz w:val="24"/>
          <w:szCs w:val="24"/>
          <w:lang w:val="sr-Cyrl-CS"/>
        </w:rPr>
        <w:t>ксом у двокреветној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осигу</w:t>
      </w:r>
      <w:r w:rsidR="0089528D">
        <w:rPr>
          <w:rFonts w:ascii="Arial" w:eastAsia="Calibri" w:hAnsi="Arial" w:cs="Arial"/>
          <w:sz w:val="24"/>
          <w:szCs w:val="24"/>
          <w:lang w:val="sr-Cyrl-CS"/>
        </w:rPr>
        <w:t>рањем у једнокреветној соби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осигурањем у двокреветној соби</w:t>
      </w:r>
      <w:r w:rsidR="0089528D">
        <w:rPr>
          <w:rFonts w:ascii="Arial" w:eastAsia="Calibri" w:hAnsi="Arial" w:cs="Arial"/>
          <w:sz w:val="24"/>
          <w:szCs w:val="24"/>
          <w:lang w:val="sr-Cyrl-CS"/>
        </w:rPr>
        <w:t xml:space="preserve">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пуног пансиона, боравишном таксом и осигурањем у једнокреветној соби – 20 ноћења и смештај на бази пуног пансиона, боравишном таксом и осигурањем у двокреветној соби – 20 ноћења.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Датум                                                                                    Потпис понуђача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_______                                                                              __________________</w:t>
      </w:r>
    </w:p>
    <w:p w:rsidR="00330100" w:rsidRDefault="00330100" w:rsidP="00330100">
      <w:pPr>
        <w:rPr>
          <w:lang w:val="sr-Cyrl-CS"/>
        </w:rPr>
      </w:pPr>
    </w:p>
    <w:p w:rsidR="000B547C" w:rsidRDefault="000B547C" w:rsidP="00330100">
      <w:pPr>
        <w:rPr>
          <w:lang w:val="sr-Cyrl-CS"/>
        </w:rPr>
      </w:pPr>
    </w:p>
    <w:p w:rsidR="000B547C" w:rsidRPr="002B5AC0" w:rsidRDefault="000B547C" w:rsidP="00330100">
      <w:pPr>
        <w:rPr>
          <w:lang w:val="sr-Cyrl-CS"/>
        </w:rPr>
      </w:pPr>
    </w:p>
    <w:p w:rsidR="00330100" w:rsidRPr="00CF525F" w:rsidRDefault="00330100" w:rsidP="00330100">
      <w:pPr>
        <w:pStyle w:val="Heading1"/>
        <w:jc w:val="center"/>
        <w:rPr>
          <w:lang w:val="sr-Cyrl-CS"/>
        </w:rPr>
      </w:pPr>
      <w:r>
        <w:rPr>
          <w:lang w:val="sr-Cyrl-CS"/>
        </w:rPr>
        <w:t xml:space="preserve"> </w:t>
      </w:r>
      <w:r w:rsidRPr="00CF525F">
        <w:rPr>
          <w:lang w:val="sr-Cyrl-CS"/>
        </w:rPr>
        <w:t xml:space="preserve"> </w:t>
      </w:r>
      <w:r w:rsidR="00581AC3">
        <w:rPr>
          <w:lang w:val="sr-Cyrl-CS"/>
        </w:rPr>
        <w:t xml:space="preserve">ОБРАЗАЦ СТРУКТУРЕ ЦЕНЕ ЗА </w:t>
      </w:r>
      <w:r w:rsidR="00FA7042">
        <w:rPr>
          <w:lang w:val="sr-Cyrl-RS"/>
        </w:rPr>
        <w:t>2</w:t>
      </w:r>
      <w:r w:rsidR="000B547C">
        <w:rPr>
          <w:lang w:val="sr-Cyrl-CS"/>
        </w:rPr>
        <w:t xml:space="preserve">. </w:t>
      </w:r>
      <w:r w:rsidRPr="00CF525F">
        <w:rPr>
          <w:lang w:val="sr-Cyrl-CS"/>
        </w:rPr>
        <w:t>ПАРТИЈ</w:t>
      </w:r>
      <w:r w:rsidR="000B547C">
        <w:rPr>
          <w:lang w:val="sr-Cyrl-CS"/>
        </w:rPr>
        <w:t>У</w:t>
      </w:r>
      <w:r>
        <w:rPr>
          <w:lang w:val="sr-Cyrl-CS"/>
        </w:rPr>
        <w:t xml:space="preserve"> – ХОТЕЛСКИ СМЕШТАЈ СА ПЕТ ЗВЕЗДИЦА</w:t>
      </w:r>
    </w:p>
    <w:p w:rsidR="00330100" w:rsidRDefault="00330100" w:rsidP="00330100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330100" w:rsidRPr="00D76502" w:rsidTr="00E0381C">
        <w:trPr>
          <w:trHeight w:val="625"/>
        </w:trPr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330100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330100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330100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89528D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330100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 xml:space="preserve">Смештај на бази пуног пансиона, боравишном таксом и осигурањем у једнокреветној 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lastRenderedPageBreak/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t>УКУПНО</w:t>
            </w: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330100" w:rsidRDefault="00330100" w:rsidP="00330100">
      <w:pPr>
        <w:jc w:val="both"/>
        <w:rPr>
          <w:rFonts w:ascii="Calibri" w:eastAsia="Calibri" w:hAnsi="Calibri" w:cs="Times New Roman"/>
          <w:i/>
          <w:iCs/>
          <w:lang w:val="sr-Cyrl-CS"/>
        </w:rPr>
      </w:pPr>
    </w:p>
    <w:p w:rsidR="00330100" w:rsidRPr="00FB4774" w:rsidRDefault="00330100" w:rsidP="00330100">
      <w:pPr>
        <w:rPr>
          <w:rFonts w:ascii="Arial" w:hAnsi="Arial" w:cs="Arial"/>
          <w:lang w:val="sr-Cyrl-CS"/>
        </w:rPr>
      </w:pP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Локација хотела</w:t>
      </w:r>
      <w:r>
        <w:rPr>
          <w:rFonts w:ascii="Arial" w:eastAsia="Calibri" w:hAnsi="Arial" w:cs="Arial"/>
          <w:sz w:val="24"/>
          <w:szCs w:val="24"/>
          <w:lang w:val="sr-Cyrl-CS"/>
        </w:rPr>
        <w:t xml:space="preserve"> треба да је НА ТЕРИТОРИЈИ Града Ниша.</w:t>
      </w: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Категоризација хотела</w:t>
      </w:r>
      <w:r>
        <w:rPr>
          <w:rFonts w:ascii="Arial" w:eastAsia="Calibri" w:hAnsi="Arial" w:cs="Arial"/>
          <w:sz w:val="24"/>
          <w:szCs w:val="24"/>
          <w:lang w:val="sr-Cyrl-CS"/>
        </w:rPr>
        <w:t xml:space="preserve"> пет звездица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330100" w:rsidRPr="00AC65A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>Планиране оквирне количине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 xml:space="preserve"> су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00 ноћења у</w:t>
      </w:r>
      <w:r>
        <w:rPr>
          <w:rFonts w:ascii="Arial" w:hAnsi="Arial" w:cs="Arial"/>
          <w:sz w:val="24"/>
          <w:szCs w:val="24"/>
          <w:lang w:val="sr-Cyrl-CS"/>
        </w:rPr>
        <w:t xml:space="preserve"> току трајања уговора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 xml:space="preserve"> и то:</w:t>
      </w:r>
    </w:p>
    <w:p w:rsidR="00330100" w:rsidRDefault="00330100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sz w:val="24"/>
          <w:szCs w:val="24"/>
          <w:lang w:val="sr-Cyrl-CS"/>
        </w:rPr>
        <w:t>ноћење са доручком, боравишном таксом и осиг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урањем у једнокреветној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ноћење са доручком, боравишном таксом и ос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игурањем у двокреветној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осигу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рањем у једнокреветној соби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гурањем у двокреветној соби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пуног пансиона, боравишном таксом и осигурањем у једнокреветној соби – 20 ноћења и смештај на бази пуног пансиона, боравишном таксом и осигурањем у двокреветној соби – 20 ноћења.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 xml:space="preserve">Датум                                                                                                Потпис понуђача 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711EE0" w:rsidRDefault="000B547C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________                                                                                          ______________</w:t>
      </w:r>
    </w:p>
    <w:p w:rsidR="000B547C" w:rsidRDefault="000B547C" w:rsidP="000B54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0B547C">
      <w:pPr>
        <w:jc w:val="both"/>
        <w:rPr>
          <w:rFonts w:ascii="Arial" w:eastAsia="Calibri" w:hAnsi="Arial" w:cs="Arial"/>
          <w:sz w:val="24"/>
          <w:szCs w:val="24"/>
        </w:rPr>
      </w:pPr>
    </w:p>
    <w:p w:rsidR="00C87F49" w:rsidRPr="00CF525F" w:rsidRDefault="00C87F49" w:rsidP="00C87F49">
      <w:pPr>
        <w:pStyle w:val="Heading1"/>
        <w:jc w:val="center"/>
        <w:rPr>
          <w:lang w:val="sr-Cyrl-CS"/>
        </w:rPr>
      </w:pPr>
      <w:r>
        <w:rPr>
          <w:lang w:val="sr-Cyrl-CS"/>
        </w:rPr>
        <w:lastRenderedPageBreak/>
        <w:t xml:space="preserve">ОБРАЗАЦ СТРУКТУРЕ ЦЕНЕ ЗА </w:t>
      </w:r>
      <w:r>
        <w:rPr>
          <w:lang w:val="sr-Cyrl-RS"/>
        </w:rPr>
        <w:t>3</w:t>
      </w:r>
      <w:r>
        <w:rPr>
          <w:lang w:val="sr-Cyrl-CS"/>
        </w:rPr>
        <w:t xml:space="preserve">. </w:t>
      </w:r>
      <w:r w:rsidRPr="00CF525F">
        <w:rPr>
          <w:lang w:val="sr-Cyrl-CS"/>
        </w:rPr>
        <w:t>ПАРТИЈ</w:t>
      </w:r>
      <w:r>
        <w:rPr>
          <w:lang w:val="sr-Cyrl-CS"/>
        </w:rPr>
        <w:t>У</w:t>
      </w:r>
      <w:r>
        <w:rPr>
          <w:lang w:val="sr-Cyrl-CS"/>
        </w:rPr>
        <w:t xml:space="preserve"> –  СМЕШТАЈ </w:t>
      </w:r>
      <w:r w:rsidR="00FA7042">
        <w:rPr>
          <w:lang w:val="sr-Cyrl-CS"/>
        </w:rPr>
        <w:t>БЕЗ КАТЕГОРИЈЕ</w:t>
      </w:r>
    </w:p>
    <w:p w:rsidR="00C87F49" w:rsidRDefault="00C87F49" w:rsidP="00C87F49">
      <w:pPr>
        <w:rPr>
          <w:lang w:val="sr-Cyrl-CS"/>
        </w:rPr>
      </w:pPr>
    </w:p>
    <w:p w:rsidR="00C87F49" w:rsidRPr="009F3AB5" w:rsidRDefault="00C87F49" w:rsidP="00C87F49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C87F49" w:rsidRPr="00D76502" w:rsidTr="009101F7">
        <w:trPr>
          <w:trHeight w:val="625"/>
        </w:trPr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C87F49" w:rsidRPr="00D76502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89528D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C87F49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C87F49" w:rsidRPr="00D76502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89528D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4</w:t>
            </w:r>
            <w:r w:rsidR="00C87F49"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C87F49" w:rsidRPr="00D76502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89528D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C87F49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C87F49" w:rsidRPr="00D76502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89528D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14</w:t>
            </w:r>
            <w:r w:rsidR="00C87F49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C87F49" w:rsidRPr="00DC0686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C87F49" w:rsidRPr="00DC0686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 xml:space="preserve">Смештај на бази пуног 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пансиона,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C87F49" w:rsidRPr="00DC0686" w:rsidTr="009101F7">
        <w:tc>
          <w:tcPr>
            <w:tcW w:w="675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lastRenderedPageBreak/>
              <w:t>7.</w:t>
            </w:r>
          </w:p>
        </w:tc>
        <w:tc>
          <w:tcPr>
            <w:tcW w:w="1594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t>УКУПНО</w:t>
            </w:r>
          </w:p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C87F49" w:rsidRPr="001735B4" w:rsidRDefault="00C87F49" w:rsidP="009101F7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C87F49" w:rsidRPr="00FB4774" w:rsidRDefault="00C87F49" w:rsidP="00C87F49">
      <w:pPr>
        <w:rPr>
          <w:rFonts w:ascii="Arial" w:hAnsi="Arial" w:cs="Arial"/>
          <w:lang w:val="sr-Cyrl-CS"/>
        </w:rPr>
      </w:pPr>
    </w:p>
    <w:p w:rsidR="00FA7042" w:rsidRDefault="00FA7042" w:rsidP="000B547C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FA7042" w:rsidRDefault="00FA7042" w:rsidP="000B547C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80E6C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b/>
          <w:sz w:val="24"/>
          <w:szCs w:val="24"/>
          <w:lang w:val="sr-Cyrl-CS"/>
        </w:rPr>
        <w:t>Локација смештаја</w:t>
      </w:r>
      <w:r>
        <w:rPr>
          <w:rFonts w:ascii="Arial" w:eastAsia="Calibri" w:hAnsi="Arial" w:cs="Arial"/>
          <w:sz w:val="24"/>
          <w:szCs w:val="24"/>
          <w:lang w:val="sr-Cyrl-CS"/>
        </w:rPr>
        <w:t xml:space="preserve"> треба да је НА ТЕРИТОРИЈИ Града Ниша.</w:t>
      </w:r>
    </w:p>
    <w:p w:rsidR="00FA7042" w:rsidRPr="00AC65A0" w:rsidRDefault="00B80E6C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b/>
          <w:sz w:val="24"/>
          <w:szCs w:val="24"/>
          <w:lang w:val="sr-Cyrl-CS"/>
        </w:rPr>
        <w:t xml:space="preserve"> </w:t>
      </w:r>
      <w:r w:rsidR="00FA7042" w:rsidRPr="00AC65A0">
        <w:rPr>
          <w:rFonts w:ascii="Arial" w:eastAsia="Calibri" w:hAnsi="Arial" w:cs="Arial"/>
          <w:b/>
          <w:sz w:val="24"/>
          <w:szCs w:val="24"/>
          <w:lang w:val="sr-Cyrl-CS"/>
        </w:rPr>
        <w:t>Планиране оквирне количине</w:t>
      </w:r>
      <w:r w:rsidR="00FA5E6E">
        <w:rPr>
          <w:rFonts w:ascii="Arial" w:eastAsia="Calibri" w:hAnsi="Arial" w:cs="Arial"/>
          <w:sz w:val="24"/>
          <w:szCs w:val="24"/>
          <w:lang w:val="sr-Cyrl-CS"/>
        </w:rPr>
        <w:t xml:space="preserve"> су 400</w:t>
      </w:r>
      <w:r w:rsidR="00FA7042" w:rsidRPr="00AC65A0">
        <w:rPr>
          <w:rFonts w:ascii="Arial" w:eastAsia="Calibri" w:hAnsi="Arial" w:cs="Arial"/>
          <w:sz w:val="24"/>
          <w:szCs w:val="24"/>
          <w:lang w:val="sr-Cyrl-CS"/>
        </w:rPr>
        <w:t xml:space="preserve"> ноћења у</w:t>
      </w:r>
      <w:r w:rsidR="00FA7042">
        <w:rPr>
          <w:rFonts w:ascii="Arial" w:hAnsi="Arial" w:cs="Arial"/>
          <w:sz w:val="24"/>
          <w:szCs w:val="24"/>
          <w:lang w:val="sr-Cyrl-CS"/>
        </w:rPr>
        <w:t xml:space="preserve"> току трајања уговора</w:t>
      </w:r>
      <w:r w:rsidR="00FA7042" w:rsidRPr="00AC65A0">
        <w:rPr>
          <w:rFonts w:ascii="Arial" w:eastAsia="Calibri" w:hAnsi="Arial" w:cs="Arial"/>
          <w:sz w:val="24"/>
          <w:szCs w:val="24"/>
          <w:lang w:val="sr-Cyrl-CS"/>
        </w:rPr>
        <w:t xml:space="preserve"> и то:</w:t>
      </w: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AC65A0">
        <w:rPr>
          <w:rFonts w:ascii="Arial" w:eastAsia="Calibri" w:hAnsi="Arial" w:cs="Arial"/>
          <w:sz w:val="24"/>
          <w:szCs w:val="24"/>
          <w:lang w:val="sr-Cyrl-CS"/>
        </w:rPr>
        <w:t>ноћење са доручком, боравишном таксом и осиг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урањем у једнокреветној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ноћење са доручком, боравишном таксом и ос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игурањем у двокреветној соби – 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осигу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рањем у једнокреветној соби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полупансиони, боравишном таксом и оси</w:t>
      </w:r>
      <w:r w:rsidR="007323E3">
        <w:rPr>
          <w:rFonts w:ascii="Arial" w:eastAsia="Calibri" w:hAnsi="Arial" w:cs="Arial"/>
          <w:sz w:val="24"/>
          <w:szCs w:val="24"/>
          <w:lang w:val="sr-Cyrl-CS"/>
        </w:rPr>
        <w:t>гурањем у двокреветној соби – 14</w:t>
      </w:r>
      <w:r w:rsidRPr="00AC65A0">
        <w:rPr>
          <w:rFonts w:ascii="Arial" w:eastAsia="Calibri" w:hAnsi="Arial" w:cs="Arial"/>
          <w:sz w:val="24"/>
          <w:szCs w:val="24"/>
          <w:lang w:val="sr-Cyrl-CS"/>
        </w:rPr>
        <w:t>0 ноћења, смештај на бази пуног пансиона, боравишном таксом и осигурањем у једнокреветној соби – 20 ноћења и смештај на бази пуног пансиона, боравишном таксом и осигурањем у двокреветној соби – 20 ноћења.</w:t>
      </w: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 xml:space="preserve">Датум                                                                                                Потпис понуђача </w:t>
      </w: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________                                                                                          ______________</w:t>
      </w: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A7042" w:rsidRDefault="00FA7042" w:rsidP="00FA7042">
      <w:pPr>
        <w:jc w:val="both"/>
        <w:rPr>
          <w:rFonts w:ascii="Arial" w:eastAsia="Calibri" w:hAnsi="Arial" w:cs="Arial"/>
          <w:sz w:val="24"/>
          <w:szCs w:val="24"/>
        </w:rPr>
      </w:pPr>
    </w:p>
    <w:p w:rsidR="00FA7042" w:rsidRPr="00FA7042" w:rsidRDefault="00FA7042" w:rsidP="000B547C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bookmarkStart w:id="0" w:name="_GoBack"/>
      <w:bookmarkEnd w:id="0"/>
    </w:p>
    <w:p w:rsidR="00581AC3" w:rsidRPr="00581AC3" w:rsidRDefault="00581AC3" w:rsidP="000B547C">
      <w:pPr>
        <w:jc w:val="both"/>
        <w:rPr>
          <w:rFonts w:ascii="Arial" w:eastAsia="Calibri" w:hAnsi="Arial" w:cs="Arial"/>
          <w:sz w:val="24"/>
          <w:szCs w:val="24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 w:rsidR="000B547C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0B547C" w:rsidRPr="000B547C" w:rsidRDefault="000B547C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 обрасцу структуре цена понуђач треба да наведе јединичну цену без ПДВ-а, јединичну цену </w:t>
      </w:r>
      <w:r w:rsidR="00E546EA">
        <w:rPr>
          <w:rFonts w:ascii="Times New Roman" w:hAnsi="Times New Roman" w:cs="Times New Roman"/>
          <w:sz w:val="28"/>
          <w:szCs w:val="28"/>
          <w:lang w:val="sr-Cyrl-CS"/>
        </w:rPr>
        <w:t>са ПДВ-ом, укупну цену без ПДВ-а и укупну цену са ПДВ-ом.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B0562C" w:rsidRDefault="00B0562C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0562C" w:rsidRDefault="00B0562C" w:rsidP="00B0562C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 у тренутку закључења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наручиоцу,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једну бланко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испуњење уговорних обавеза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, која представља средство </w:t>
      </w:r>
      <w:r>
        <w:rPr>
          <w:rFonts w:ascii="Times New Roman" w:hAnsi="Times New Roman" w:cs="Times New Roman"/>
          <w:sz w:val="28"/>
          <w:szCs w:val="28"/>
          <w:lang w:val="sr-Cyrl-CS"/>
        </w:rPr>
        <w:t>финансијског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B0562C" w:rsidRPr="007D060D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B0562C" w:rsidRDefault="00B0562C" w:rsidP="00F84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Средства финансијског обезбеђења могу гласити на члана групе понуђача или понуђача, али не и на подизвођача.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E546EA" w:rsidRDefault="00E546E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E546EA" w:rsidRPr="0027296C" w:rsidRDefault="00E546E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писана изјава привредног субјекта дата под кривичном и материјалном одговорношћу на меморандуму привредног субјекта да испуњава услове из предметне набавке на коју се закон не примењује.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07"/>
    <w:multiLevelType w:val="hybridMultilevel"/>
    <w:tmpl w:val="5916FD14"/>
    <w:lvl w:ilvl="0" w:tplc="2A707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6AC"/>
    <w:multiLevelType w:val="hybridMultilevel"/>
    <w:tmpl w:val="F54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6B9A"/>
    <w:multiLevelType w:val="hybridMultilevel"/>
    <w:tmpl w:val="D4F449EE"/>
    <w:lvl w:ilvl="0" w:tplc="6B96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10BF7"/>
    <w:multiLevelType w:val="hybridMultilevel"/>
    <w:tmpl w:val="5FB2B5A2"/>
    <w:lvl w:ilvl="0" w:tplc="3176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5957"/>
    <w:rsid w:val="00032959"/>
    <w:rsid w:val="0004091C"/>
    <w:rsid w:val="000B547C"/>
    <w:rsid w:val="000C0522"/>
    <w:rsid w:val="000D0240"/>
    <w:rsid w:val="000E3DB4"/>
    <w:rsid w:val="00102761"/>
    <w:rsid w:val="001103A8"/>
    <w:rsid w:val="001154E7"/>
    <w:rsid w:val="00142036"/>
    <w:rsid w:val="001C7616"/>
    <w:rsid w:val="001D2779"/>
    <w:rsid w:val="001E1779"/>
    <w:rsid w:val="00200A40"/>
    <w:rsid w:val="00201EC8"/>
    <w:rsid w:val="00221C9E"/>
    <w:rsid w:val="00232902"/>
    <w:rsid w:val="00264C69"/>
    <w:rsid w:val="00270A0C"/>
    <w:rsid w:val="0027296C"/>
    <w:rsid w:val="002B32F7"/>
    <w:rsid w:val="002F7CF5"/>
    <w:rsid w:val="00305771"/>
    <w:rsid w:val="0030777B"/>
    <w:rsid w:val="00330100"/>
    <w:rsid w:val="00330752"/>
    <w:rsid w:val="00396B49"/>
    <w:rsid w:val="003A3DFB"/>
    <w:rsid w:val="003E55CD"/>
    <w:rsid w:val="003F65DE"/>
    <w:rsid w:val="0040164A"/>
    <w:rsid w:val="00407E27"/>
    <w:rsid w:val="0041272D"/>
    <w:rsid w:val="004179B7"/>
    <w:rsid w:val="0042232D"/>
    <w:rsid w:val="00431BFF"/>
    <w:rsid w:val="00456C08"/>
    <w:rsid w:val="00467B91"/>
    <w:rsid w:val="004B037E"/>
    <w:rsid w:val="004B54E2"/>
    <w:rsid w:val="0052585F"/>
    <w:rsid w:val="00530A89"/>
    <w:rsid w:val="00550805"/>
    <w:rsid w:val="0056414D"/>
    <w:rsid w:val="00581AC3"/>
    <w:rsid w:val="005916CF"/>
    <w:rsid w:val="005D2192"/>
    <w:rsid w:val="005E2113"/>
    <w:rsid w:val="00606E80"/>
    <w:rsid w:val="00620A19"/>
    <w:rsid w:val="00624395"/>
    <w:rsid w:val="00637398"/>
    <w:rsid w:val="00637AB5"/>
    <w:rsid w:val="00646E1B"/>
    <w:rsid w:val="00674C31"/>
    <w:rsid w:val="006A5E69"/>
    <w:rsid w:val="006B32EE"/>
    <w:rsid w:val="006E2B4F"/>
    <w:rsid w:val="006F2C9B"/>
    <w:rsid w:val="006F7227"/>
    <w:rsid w:val="00711EE0"/>
    <w:rsid w:val="0071352A"/>
    <w:rsid w:val="0071593A"/>
    <w:rsid w:val="007323E3"/>
    <w:rsid w:val="007644BA"/>
    <w:rsid w:val="00770461"/>
    <w:rsid w:val="00792CBB"/>
    <w:rsid w:val="007D060D"/>
    <w:rsid w:val="007E2BE2"/>
    <w:rsid w:val="007E39E1"/>
    <w:rsid w:val="00822D9A"/>
    <w:rsid w:val="008834E9"/>
    <w:rsid w:val="0089528D"/>
    <w:rsid w:val="0089695B"/>
    <w:rsid w:val="008D1387"/>
    <w:rsid w:val="008E6346"/>
    <w:rsid w:val="009438E3"/>
    <w:rsid w:val="0095624F"/>
    <w:rsid w:val="00966E21"/>
    <w:rsid w:val="00984AB0"/>
    <w:rsid w:val="00985F25"/>
    <w:rsid w:val="009B39A3"/>
    <w:rsid w:val="009C3A81"/>
    <w:rsid w:val="009E1D64"/>
    <w:rsid w:val="00A32292"/>
    <w:rsid w:val="00A928CC"/>
    <w:rsid w:val="00AA55AF"/>
    <w:rsid w:val="00AF4493"/>
    <w:rsid w:val="00B050A7"/>
    <w:rsid w:val="00B0562C"/>
    <w:rsid w:val="00B3334E"/>
    <w:rsid w:val="00B513ED"/>
    <w:rsid w:val="00B77DA0"/>
    <w:rsid w:val="00B80E6C"/>
    <w:rsid w:val="00B84028"/>
    <w:rsid w:val="00BA7F17"/>
    <w:rsid w:val="00BB2F6D"/>
    <w:rsid w:val="00BB6830"/>
    <w:rsid w:val="00BB7AD5"/>
    <w:rsid w:val="00BB7CD5"/>
    <w:rsid w:val="00C21DB1"/>
    <w:rsid w:val="00C2472A"/>
    <w:rsid w:val="00C32EF8"/>
    <w:rsid w:val="00C50A07"/>
    <w:rsid w:val="00C5403B"/>
    <w:rsid w:val="00C54C90"/>
    <w:rsid w:val="00C85D8C"/>
    <w:rsid w:val="00C877A3"/>
    <w:rsid w:val="00C87F49"/>
    <w:rsid w:val="00CD25E9"/>
    <w:rsid w:val="00D256CF"/>
    <w:rsid w:val="00D820D4"/>
    <w:rsid w:val="00D94C53"/>
    <w:rsid w:val="00DA70E5"/>
    <w:rsid w:val="00DF3E12"/>
    <w:rsid w:val="00DF6F44"/>
    <w:rsid w:val="00E121C3"/>
    <w:rsid w:val="00E13F57"/>
    <w:rsid w:val="00E3297C"/>
    <w:rsid w:val="00E546EA"/>
    <w:rsid w:val="00E8027C"/>
    <w:rsid w:val="00E8551A"/>
    <w:rsid w:val="00F006CD"/>
    <w:rsid w:val="00F45144"/>
    <w:rsid w:val="00F57FC8"/>
    <w:rsid w:val="00F67CEC"/>
    <w:rsid w:val="00F837DB"/>
    <w:rsid w:val="00F84D05"/>
    <w:rsid w:val="00FA5E6E"/>
    <w:rsid w:val="00FA7042"/>
    <w:rsid w:val="00FB0CF0"/>
    <w:rsid w:val="00FB0E9F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2B98-014F-4CF3-BA3C-FF5414A3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2026-05-05T11:00:00Z</cp:lastPrinted>
  <dcterms:created xsi:type="dcterms:W3CDTF">2026-05-05T07:02:00Z</dcterms:created>
  <dcterms:modified xsi:type="dcterms:W3CDTF">2026-05-05T11:04:00Z</dcterms:modified>
</cp:coreProperties>
</file>