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8CC" w:rsidRPr="00C85D8C" w:rsidRDefault="00A928CC" w:rsidP="00A928CC">
      <w:pPr>
        <w:rPr>
          <w:rFonts w:ascii="Arial" w:hAnsi="Arial" w:cs="Arial"/>
          <w:sz w:val="24"/>
          <w:szCs w:val="24"/>
          <w:lang w:val="sr-Cyrl-RS"/>
        </w:rPr>
      </w:pPr>
    </w:p>
    <w:p w:rsidR="00A928CC" w:rsidRDefault="00A928CC" w:rsidP="00A928CC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УСТАНОВА НИШКИ КУЛТУРНИ ЦЕНТАР</w:t>
      </w:r>
    </w:p>
    <w:p w:rsidR="00A928CC" w:rsidRPr="00AC2B8F" w:rsidRDefault="009438E3" w:rsidP="00A928C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Број: </w:t>
      </w:r>
      <w:r w:rsidR="00AC2B8F">
        <w:rPr>
          <w:rFonts w:ascii="Arial" w:hAnsi="Arial" w:cs="Arial"/>
          <w:sz w:val="24"/>
          <w:szCs w:val="24"/>
        </w:rPr>
        <w:t>182</w:t>
      </w:r>
    </w:p>
    <w:p w:rsidR="000D0240" w:rsidRPr="00AC2B8F" w:rsidRDefault="00201EC8" w:rsidP="005E2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Ниш, </w:t>
      </w:r>
      <w:r w:rsidR="00AC2B8F">
        <w:rPr>
          <w:rFonts w:ascii="Arial" w:hAnsi="Arial" w:cs="Arial"/>
          <w:sz w:val="24"/>
          <w:szCs w:val="24"/>
        </w:rPr>
        <w:t>8</w:t>
      </w:r>
      <w:r w:rsidR="00AC2B8F">
        <w:rPr>
          <w:rFonts w:ascii="Arial" w:hAnsi="Arial" w:cs="Arial"/>
          <w:sz w:val="24"/>
          <w:szCs w:val="24"/>
          <w:lang w:val="sr-Cyrl-RS"/>
        </w:rPr>
        <w:t>.4.202</w:t>
      </w:r>
      <w:r w:rsidR="00AC2B8F">
        <w:rPr>
          <w:rFonts w:ascii="Arial" w:hAnsi="Arial" w:cs="Arial"/>
          <w:sz w:val="24"/>
          <w:szCs w:val="24"/>
        </w:rPr>
        <w:t>5</w:t>
      </w:r>
    </w:p>
    <w:p w:rsidR="00A928CC" w:rsidRDefault="00431BFF" w:rsidP="004E776A">
      <w:pPr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На основу члана 27 став </w:t>
      </w:r>
      <w:r w:rsidR="00D94C53">
        <w:rPr>
          <w:rFonts w:ascii="Arial" w:hAnsi="Arial" w:cs="Arial"/>
          <w:sz w:val="24"/>
          <w:szCs w:val="24"/>
          <w:lang w:val="sr-Cyrl-CS"/>
        </w:rPr>
        <w:t>3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Закона о јавним набавкама </w:t>
      </w:r>
      <w:r w:rsidR="00A928CC">
        <w:rPr>
          <w:rFonts w:ascii="Arial" w:hAnsi="Arial" w:cs="Arial"/>
          <w:sz w:val="24"/>
          <w:szCs w:val="24"/>
        </w:rPr>
        <w:t>(</w:t>
      </w:r>
      <w:r w:rsidR="00A928CC">
        <w:rPr>
          <w:rFonts w:ascii="Arial" w:hAnsi="Arial" w:cs="Arial"/>
          <w:sz w:val="24"/>
          <w:szCs w:val="24"/>
          <w:lang w:val="sr-Cyrl-CS"/>
        </w:rPr>
        <w:t xml:space="preserve"> „Сл. гласник РС“ бр.91/19</w:t>
      </w:r>
      <w:r w:rsidR="00A928CC">
        <w:rPr>
          <w:rFonts w:ascii="Arial" w:hAnsi="Arial" w:cs="Arial"/>
          <w:sz w:val="24"/>
          <w:szCs w:val="24"/>
        </w:rPr>
        <w:t>)</w:t>
      </w:r>
      <w:r w:rsidR="00A928CC">
        <w:rPr>
          <w:rFonts w:ascii="Arial" w:hAnsi="Arial" w:cs="Arial"/>
          <w:sz w:val="24"/>
          <w:szCs w:val="24"/>
          <w:lang w:val="sr-Cyrl-CS"/>
        </w:rPr>
        <w:t>, члана 45 Правилника о ближем уређивању поступка јавне набавке и набавки на које се закон не примењује  број 173 од 01.03.2021 а у вези са Одлуком о спровођењу поступка набавки на који се закон не п</w:t>
      </w:r>
      <w:r>
        <w:rPr>
          <w:rFonts w:ascii="Arial" w:hAnsi="Arial" w:cs="Arial"/>
          <w:sz w:val="24"/>
          <w:szCs w:val="24"/>
          <w:lang w:val="sr-Cyrl-CS"/>
        </w:rPr>
        <w:t>римењује бр.</w:t>
      </w:r>
      <w:r w:rsidR="00AC2B8F">
        <w:rPr>
          <w:rFonts w:ascii="Arial" w:hAnsi="Arial" w:cs="Arial"/>
          <w:sz w:val="24"/>
          <w:szCs w:val="24"/>
        </w:rPr>
        <w:t>180</w:t>
      </w:r>
      <w:r>
        <w:rPr>
          <w:rFonts w:ascii="Arial" w:hAnsi="Arial" w:cs="Arial"/>
          <w:sz w:val="24"/>
          <w:szCs w:val="24"/>
          <w:lang w:val="sr-Latn-CS"/>
        </w:rPr>
        <w:t xml:space="preserve"> </w:t>
      </w:r>
      <w:r>
        <w:rPr>
          <w:rFonts w:ascii="Arial" w:hAnsi="Arial" w:cs="Arial"/>
          <w:sz w:val="24"/>
          <w:szCs w:val="24"/>
          <w:lang w:val="sr-Cyrl-CS"/>
        </w:rPr>
        <w:t>од</w:t>
      </w:r>
      <w:r w:rsidR="00C2472A">
        <w:rPr>
          <w:rFonts w:ascii="Arial" w:hAnsi="Arial" w:cs="Arial"/>
          <w:sz w:val="24"/>
          <w:szCs w:val="24"/>
          <w:lang w:val="sr-Latn-CS"/>
        </w:rPr>
        <w:t xml:space="preserve"> </w:t>
      </w:r>
      <w:r w:rsidR="00AC2B8F">
        <w:rPr>
          <w:rFonts w:ascii="Arial" w:hAnsi="Arial" w:cs="Arial"/>
          <w:sz w:val="24"/>
          <w:szCs w:val="24"/>
        </w:rPr>
        <w:t>8</w:t>
      </w:r>
      <w:r w:rsidR="00C2472A">
        <w:rPr>
          <w:rFonts w:ascii="Arial" w:hAnsi="Arial" w:cs="Arial"/>
          <w:sz w:val="24"/>
          <w:szCs w:val="24"/>
          <w:lang w:val="sr-Cyrl-CS"/>
        </w:rPr>
        <w:t>.</w:t>
      </w:r>
      <w:r w:rsidR="00C85D8C">
        <w:rPr>
          <w:rFonts w:ascii="Arial" w:hAnsi="Arial" w:cs="Arial"/>
          <w:sz w:val="24"/>
          <w:szCs w:val="24"/>
          <w:lang w:val="sr-Cyrl-RS"/>
        </w:rPr>
        <w:t>4</w:t>
      </w:r>
      <w:r w:rsidR="001103A8">
        <w:rPr>
          <w:rFonts w:ascii="Arial" w:hAnsi="Arial" w:cs="Arial"/>
          <w:sz w:val="24"/>
          <w:szCs w:val="24"/>
          <w:lang w:val="sr-Latn-CS"/>
        </w:rPr>
        <w:t>.202</w:t>
      </w:r>
      <w:r w:rsidR="00AC2B8F">
        <w:rPr>
          <w:rFonts w:ascii="Arial" w:hAnsi="Arial" w:cs="Arial"/>
          <w:sz w:val="24"/>
          <w:szCs w:val="24"/>
        </w:rPr>
        <w:t>5</w:t>
      </w:r>
      <w:r w:rsidR="00201EC8">
        <w:rPr>
          <w:rFonts w:ascii="Arial" w:hAnsi="Arial" w:cs="Arial"/>
          <w:sz w:val="24"/>
          <w:szCs w:val="24"/>
          <w:lang w:val="sr-Cyrl-CS"/>
        </w:rPr>
        <w:t xml:space="preserve">  у</w:t>
      </w:r>
      <w:r w:rsidR="00A928CC">
        <w:rPr>
          <w:rFonts w:ascii="Arial" w:hAnsi="Arial" w:cs="Arial"/>
          <w:sz w:val="24"/>
          <w:szCs w:val="24"/>
          <w:lang w:val="sr-Cyrl-CS"/>
        </w:rPr>
        <w:t>пућујемо вам:</w:t>
      </w:r>
    </w:p>
    <w:p w:rsidR="00F006CD" w:rsidRDefault="00A928CC" w:rsidP="001103A8">
      <w:pPr>
        <w:jc w:val="center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ПОЗИВ </w:t>
      </w:r>
      <w:r w:rsidR="00431BFF">
        <w:rPr>
          <w:rFonts w:ascii="Arial" w:hAnsi="Arial" w:cs="Arial"/>
          <w:sz w:val="24"/>
          <w:szCs w:val="24"/>
          <w:lang w:val="sr-Cyrl-CS"/>
        </w:rPr>
        <w:t>ЗА ПОДНОШЕЊЕ ПОНУДЕ бр.</w:t>
      </w:r>
      <w:r w:rsidR="004E776A">
        <w:rPr>
          <w:rFonts w:ascii="Arial" w:hAnsi="Arial" w:cs="Arial"/>
          <w:sz w:val="24"/>
          <w:szCs w:val="24"/>
          <w:lang w:val="sr-Cyrl-CS"/>
        </w:rPr>
        <w:t>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Предмет набавке</w:t>
            </w:r>
          </w:p>
        </w:tc>
        <w:tc>
          <w:tcPr>
            <w:tcW w:w="4788" w:type="dxa"/>
          </w:tcPr>
          <w:p w:rsidR="00201EC8" w:rsidRPr="000C7D53" w:rsidRDefault="00201EC8" w:rsidP="000C7D53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Услуге смештаја за редовне програ</w:t>
            </w:r>
            <w:r w:rsidR="000C7D53">
              <w:rPr>
                <w:rFonts w:ascii="Arial" w:hAnsi="Arial" w:cs="Arial"/>
                <w:sz w:val="24"/>
                <w:szCs w:val="24"/>
                <w:lang w:val="sr-Cyrl-CS"/>
              </w:rPr>
              <w:t xml:space="preserve">ме и манифестације </w:t>
            </w:r>
            <w:r w:rsidR="00E37EBB">
              <w:rPr>
                <w:rFonts w:ascii="Arial" w:hAnsi="Arial" w:cs="Arial"/>
                <w:sz w:val="24"/>
                <w:szCs w:val="24"/>
                <w:lang w:val="sr-Cyrl-CS"/>
              </w:rPr>
              <w:t>без категорије</w:t>
            </w: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Техничке спецификације</w:t>
            </w:r>
          </w:p>
        </w:tc>
        <w:tc>
          <w:tcPr>
            <w:tcW w:w="4788" w:type="dxa"/>
          </w:tcPr>
          <w:p w:rsidR="00DE5BB0" w:rsidRPr="00AC65A0" w:rsidRDefault="00DE5BB0" w:rsidP="00DE5BB0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  <w:r w:rsidRPr="00AC65A0">
              <w:rPr>
                <w:rFonts w:ascii="Arial" w:eastAsia="Calibri" w:hAnsi="Arial" w:cs="Arial"/>
                <w:b/>
                <w:sz w:val="24"/>
                <w:szCs w:val="24"/>
                <w:lang w:val="sr-Cyrl-CS"/>
              </w:rPr>
              <w:t>Планиране оквирне количине</w:t>
            </w:r>
            <w:r w:rsidRPr="00AC65A0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су 1000 ноћења у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току трајања уговора</w:t>
            </w:r>
            <w:r w:rsidRPr="00AC65A0"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и то:</w:t>
            </w:r>
          </w:p>
          <w:p w:rsidR="00DE5BB0" w:rsidRDefault="00DE5BB0" w:rsidP="00DE5BB0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Cyrl-CS"/>
              </w:rPr>
            </w:pPr>
            <w:r w:rsidRPr="00AC65A0">
              <w:rPr>
                <w:rFonts w:ascii="Arial" w:eastAsia="Calibri" w:hAnsi="Arial" w:cs="Arial"/>
                <w:sz w:val="24"/>
                <w:szCs w:val="24"/>
                <w:lang w:val="sr-Cyrl-CS"/>
              </w:rPr>
              <w:t>ноћење са доручком, боравишном таксом и осигурањем у једнокреветној соби – 30 ноћења, ноћење са доручком, боравишном таксом и осигурањем у двокреветној соби – 30 ноћења, смештај на бази полупансиони, боравишном таксом и осигурањем у једнокреветној соби – 300 ноћења, смештај на бази полупансиони, боравишном таксом и осигурањем у двокреветној соби – 600 ноћења, смештај на бази пуног пансиона, боравишном таксом и осигурањем у једнокреветној соби – 20 ноћења и смештај на бази пуног пансиона, боравишном таксом и осигурањем у двокреветној соби – 20 ноћења.</w:t>
            </w:r>
          </w:p>
          <w:p w:rsidR="00030EAF" w:rsidRDefault="00030EAF" w:rsidP="00030EAF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AC65A0">
              <w:rPr>
                <w:rFonts w:ascii="Arial" w:eastAsia="Calibri" w:hAnsi="Arial" w:cs="Arial"/>
                <w:b/>
                <w:sz w:val="24"/>
                <w:szCs w:val="24"/>
                <w:lang w:val="sr-Cyrl-CS"/>
              </w:rPr>
              <w:t>Локација хотела</w:t>
            </w:r>
            <w:r>
              <w:rPr>
                <w:rFonts w:ascii="Arial" w:eastAsia="Calibri" w:hAnsi="Arial" w:cs="Arial"/>
                <w:sz w:val="24"/>
                <w:szCs w:val="24"/>
                <w:lang w:val="sr-Cyrl-CS"/>
              </w:rPr>
              <w:t xml:space="preserve"> треба да је НА ТЕРИТОРИЈИ Града Ниша.</w:t>
            </w:r>
          </w:p>
          <w:p w:rsidR="00030EAF" w:rsidRPr="00842C80" w:rsidRDefault="00030EAF" w:rsidP="00030EAF">
            <w:pPr>
              <w:jc w:val="both"/>
              <w:rPr>
                <w:rFonts w:ascii="Arial" w:eastAsia="Calibri" w:hAnsi="Arial" w:cs="Arial"/>
                <w:sz w:val="24"/>
                <w:szCs w:val="24"/>
                <w:lang w:val="sr-Cyrl-R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sr-Cyrl-RS"/>
              </w:rPr>
              <w:t>Потребно је да привредни субјект има минимум 25 лежаја.</w:t>
            </w:r>
          </w:p>
          <w:p w:rsidR="00DF6F44" w:rsidRPr="00102761" w:rsidRDefault="00DF6F44" w:rsidP="00102761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DE5BB0" w:rsidTr="00F006CD">
        <w:tc>
          <w:tcPr>
            <w:tcW w:w="4788" w:type="dxa"/>
          </w:tcPr>
          <w:p w:rsidR="00DE5BB0" w:rsidRDefault="00DE5BB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DE5BB0" w:rsidRPr="00AC65A0" w:rsidRDefault="00DE5BB0" w:rsidP="00DE5BB0">
            <w:pPr>
              <w:jc w:val="both"/>
              <w:rPr>
                <w:rFonts w:ascii="Arial" w:eastAsia="Calibri" w:hAnsi="Arial" w:cs="Arial"/>
                <w:b/>
                <w:sz w:val="24"/>
                <w:szCs w:val="24"/>
                <w:lang w:val="sr-Cyrl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Критеријуми за избор привредног субјекта и начин доказивања</w:t>
            </w:r>
          </w:p>
          <w:p w:rsidR="00BB6830" w:rsidRDefault="00BB6830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Услови за учешће у поступку</w:t>
            </w:r>
          </w:p>
        </w:tc>
        <w:tc>
          <w:tcPr>
            <w:tcW w:w="4788" w:type="dxa"/>
          </w:tcPr>
          <w:p w:rsidR="0071593A" w:rsidRPr="00DE5BB0" w:rsidRDefault="00DE5BB0">
            <w:pPr>
              <w:rPr>
                <w:rFonts w:ascii="Arial" w:hAnsi="Arial" w:cs="Arial"/>
                <w:b/>
                <w:sz w:val="24"/>
                <w:szCs w:val="24"/>
                <w:lang w:val="sr-Cyrl-RS"/>
              </w:rPr>
            </w:pPr>
            <w:r w:rsidRPr="00DE5BB0">
              <w:rPr>
                <w:rFonts w:ascii="Arial" w:hAnsi="Arial" w:cs="Arial"/>
                <w:b/>
                <w:sz w:val="24"/>
                <w:szCs w:val="24"/>
                <w:lang w:val="sr-Cyrl-RS"/>
              </w:rPr>
              <w:t>Да испуњава услове за обављање професионалне делатности и то:</w:t>
            </w:r>
          </w:p>
          <w:p w:rsidR="0071593A" w:rsidRDefault="00102761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важећу дозволу за обављање делатности из предметне набавке;</w:t>
            </w:r>
          </w:p>
          <w:p w:rsidR="00DE5BB0" w:rsidRDefault="00102761" w:rsidP="00DE5BB0">
            <w:pPr>
              <w:ind w:left="45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DE5BB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Да располаже неопходним техничким </w:t>
            </w:r>
            <w:r w:rsidR="00DE5BB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и стручним </w:t>
            </w:r>
            <w:r w:rsidRPr="00DE5BB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капацитетом </w:t>
            </w:r>
            <w:r w:rsidR="00DE5BB0"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и то: </w:t>
            </w:r>
          </w:p>
          <w:p w:rsidR="00102761" w:rsidRPr="00DE5BB0" w:rsidRDefault="00102761" w:rsidP="00DE5BB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DE5BB0">
              <w:rPr>
                <w:rFonts w:ascii="Arial" w:hAnsi="Arial" w:cs="Arial"/>
                <w:sz w:val="24"/>
                <w:szCs w:val="24"/>
                <w:lang w:val="sr-Cyrl-CS"/>
              </w:rPr>
              <w:t>Да има расположиво особље 24 сата, климатизација, бежични интернет, као и редовно одржавање хигијене соба.</w:t>
            </w:r>
          </w:p>
          <w:p w:rsidR="00637AB5" w:rsidRDefault="00637AB5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Да у моменту подношења понуде има у радном односу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неодређено или одређено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или по другом основу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уговор о делу, уговор о привременим и повременим пословима, уговор о допунском раду...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минимум 5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пет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запослена лица која раде на пословима који су у непосредној вези са предметом набавке на коју се закон не примењује</w:t>
            </w:r>
          </w:p>
          <w:p w:rsidR="0048231A" w:rsidRDefault="0048231A" w:rsidP="0010276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Да привредни субјект има минимум 25 лежаја</w:t>
            </w:r>
          </w:p>
          <w:p w:rsidR="00637AB5" w:rsidRPr="00637AB5" w:rsidRDefault="00637AB5" w:rsidP="00AC2B8F">
            <w:pPr>
              <w:ind w:left="45"/>
              <w:jc w:val="both"/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 xml:space="preserve">ДОКАЗ: Писана изјава привредног субјекта дата под кривичном и материјалном </w:t>
            </w:r>
            <w:r w:rsidR="00F57FC8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одговорношћу на меморандуму привредног субјекта да испуњава услове из предметне набавке на коју се закон не примењује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Критеријум за избор најповољније понуде</w:t>
            </w:r>
          </w:p>
        </w:tc>
        <w:tc>
          <w:tcPr>
            <w:tcW w:w="4788" w:type="dxa"/>
          </w:tcPr>
          <w:p w:rsidR="00F006CD" w:rsidRDefault="00985F25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– најнижа понуђена цена</w:t>
            </w:r>
          </w:p>
          <w:p w:rsidR="00142036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постоје две или више понуда које су применом критеријума за доделу уговора једнаке, наручилац ће уговор доделити у ск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ладу са резервним критеријумима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–</w:t>
            </w:r>
            <w:r w:rsidR="001103A8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>краћи рок извршења услуге</w:t>
            </w:r>
            <w:r w:rsidR="00012C24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330752" w:rsidRDefault="00330752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и након примене резервних критеријума</w:t>
            </w:r>
            <w:r w:rsidR="00C2472A">
              <w:rPr>
                <w:rFonts w:ascii="Arial" w:hAnsi="Arial" w:cs="Arial"/>
                <w:sz w:val="24"/>
                <w:szCs w:val="24"/>
                <w:lang w:val="sr-Cyrl-CS"/>
              </w:rPr>
              <w:t xml:space="preserve"> – краћи рок извршења услуге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постоје две или више понуда које су једнако рангиране наручилац ће доделити уговор понуђачу који буде извучен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Наручилац ће писмено обавестити све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понуђаче који су поднели понуде о датуму када ће се одржати извлачење путем жреба.</w:t>
            </w:r>
          </w:p>
          <w:p w:rsidR="00396B49" w:rsidRDefault="00396B4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Жребом ће бити обухваћене с</w:t>
            </w:r>
            <w:r w:rsidR="00E8551A">
              <w:rPr>
                <w:rFonts w:ascii="Arial" w:hAnsi="Arial" w:cs="Arial"/>
                <w:sz w:val="24"/>
                <w:szCs w:val="24"/>
                <w:lang w:val="sr-Cyrl-CS"/>
              </w:rPr>
              <w:t>амо оне понуде које имају једнаку најнижу понуђену цену.</w:t>
            </w:r>
            <w:r w:rsidR="002B32F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  <w:p w:rsidR="002B32F7" w:rsidRPr="00985F25" w:rsidRDefault="002B32F7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Након спроведеног жребања наручилац ће сачинити записник и доставити понуђачима који су учествовали у жребању.</w:t>
            </w:r>
          </w:p>
          <w:p w:rsidR="0071593A" w:rsidRPr="00030EAF" w:rsidRDefault="0071593A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AC2B8F" w:rsidTr="00F006CD">
        <w:tc>
          <w:tcPr>
            <w:tcW w:w="4788" w:type="dxa"/>
          </w:tcPr>
          <w:p w:rsidR="00AC2B8F" w:rsidRDefault="00AC2B8F">
            <w:pPr>
              <w:rPr>
                <w:rFonts w:ascii="Arial" w:hAnsi="Arial" w:cs="Arial"/>
                <w:sz w:val="24"/>
                <w:szCs w:val="24"/>
              </w:rPr>
            </w:pPr>
          </w:p>
          <w:p w:rsidR="00AC2B8F" w:rsidRDefault="00AC2B8F">
            <w:pPr>
              <w:rPr>
                <w:rFonts w:ascii="Arial" w:hAnsi="Arial" w:cs="Arial"/>
                <w:sz w:val="24"/>
                <w:szCs w:val="24"/>
              </w:rPr>
            </w:pPr>
          </w:p>
          <w:p w:rsidR="00AC2B8F" w:rsidRPr="00AC2B8F" w:rsidRDefault="00AC2B8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8" w:type="dxa"/>
          </w:tcPr>
          <w:p w:rsidR="004E776A" w:rsidRDefault="004E776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Начин и рок подношења понуде</w:t>
            </w:r>
          </w:p>
        </w:tc>
        <w:tc>
          <w:tcPr>
            <w:tcW w:w="4788" w:type="dxa"/>
          </w:tcPr>
          <w:p w:rsidR="00F006CD" w:rsidRPr="006E2B4F" w:rsidRDefault="00B050A7" w:rsidP="004E77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Благовремена понуда је она понуда која је поднета од стране Понуђача н</w:t>
            </w:r>
            <w:r w:rsidR="00200A40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ајкасније до дана </w:t>
            </w:r>
            <w:r w:rsidR="00AC2B8F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AC2B8F">
              <w:rPr>
                <w:rFonts w:ascii="Arial" w:hAnsi="Arial" w:cs="Arial"/>
                <w:sz w:val="24"/>
                <w:szCs w:val="24"/>
              </w:rPr>
              <w:t>1.04.2025</w:t>
            </w:r>
            <w:r w:rsidR="000C7D53">
              <w:rPr>
                <w:rFonts w:ascii="Arial" w:hAnsi="Arial" w:cs="Arial"/>
                <w:sz w:val="24"/>
                <w:szCs w:val="24"/>
                <w:lang w:val="sr-Cyrl-CS"/>
              </w:rPr>
              <w:t>.године до 11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,0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сати лично на адресу наручиоц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 xml:space="preserve">а улица Станоја Бунушевца бб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електронским путем на маил </w:t>
            </w:r>
            <w:hyperlink r:id="rId7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 w:rsidR="00431BFF">
              <w:rPr>
                <w:lang w:val="sr-Cyrl-CS"/>
              </w:rPr>
              <w:t xml:space="preserve"> </w:t>
            </w:r>
            <w:r w:rsidR="00431BFF" w:rsidRPr="00FB25F2">
              <w:rPr>
                <w:rFonts w:ascii="Arial" w:hAnsi="Arial" w:cs="Arial"/>
                <w:sz w:val="24"/>
                <w:szCs w:val="24"/>
                <w:lang w:val="sr-Cyrl-CS"/>
              </w:rPr>
              <w:t>или поштом –  које су стигле до наведеног рока за отварање понуда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без обзира на датум слања пошиљке.</w:t>
            </w:r>
          </w:p>
          <w:p w:rsidR="00B050A7" w:rsidRDefault="00B050A7" w:rsidP="004E776A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Отварање понуда ће се </w:t>
            </w:r>
            <w:r w:rsidR="00D94C53">
              <w:rPr>
                <w:rFonts w:ascii="Arial" w:hAnsi="Arial" w:cs="Arial"/>
                <w:sz w:val="24"/>
                <w:szCs w:val="24"/>
                <w:lang w:val="sr-Cyrl-CS"/>
              </w:rPr>
              <w:t>обавити ис</w:t>
            </w:r>
            <w:r w:rsidR="00200A40">
              <w:rPr>
                <w:rFonts w:ascii="Arial" w:hAnsi="Arial" w:cs="Arial"/>
                <w:sz w:val="24"/>
                <w:szCs w:val="24"/>
                <w:lang w:val="sr-Cyrl-CS"/>
              </w:rPr>
              <w:t xml:space="preserve">тог дана </w:t>
            </w:r>
            <w:r w:rsidR="00AC2B8F">
              <w:rPr>
                <w:rFonts w:ascii="Arial" w:hAnsi="Arial" w:cs="Arial"/>
                <w:sz w:val="24"/>
                <w:szCs w:val="24"/>
                <w:lang w:val="sr-Cyrl-RS"/>
              </w:rPr>
              <w:t>1</w:t>
            </w:r>
            <w:r w:rsidR="00AC2B8F">
              <w:rPr>
                <w:rFonts w:ascii="Arial" w:hAnsi="Arial" w:cs="Arial"/>
                <w:sz w:val="24"/>
                <w:szCs w:val="24"/>
              </w:rPr>
              <w:t>1.04.2025</w:t>
            </w:r>
            <w:r w:rsidR="000C7D53">
              <w:rPr>
                <w:rFonts w:ascii="Arial" w:hAnsi="Arial" w:cs="Arial"/>
                <w:sz w:val="24"/>
                <w:szCs w:val="24"/>
                <w:lang w:val="sr-Cyrl-CS"/>
              </w:rPr>
              <w:t>. године у 11</w:t>
            </w:r>
            <w:r w:rsidR="00F57FC8">
              <w:rPr>
                <w:rFonts w:ascii="Arial" w:hAnsi="Arial" w:cs="Arial"/>
                <w:sz w:val="24"/>
                <w:szCs w:val="24"/>
                <w:lang w:val="sr-Cyrl-CS"/>
              </w:rPr>
              <w:t>,3</w:t>
            </w:r>
            <w:r w:rsidR="00BA7F17">
              <w:rPr>
                <w:rFonts w:ascii="Arial" w:hAnsi="Arial" w:cs="Arial"/>
                <w:sz w:val="24"/>
                <w:szCs w:val="24"/>
                <w:lang w:val="sr-Cyrl-CS"/>
              </w:rPr>
              <w:t xml:space="preserve">0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сати.</w:t>
            </w:r>
          </w:p>
          <w:p w:rsidR="006B32EE" w:rsidRDefault="00B050A7" w:rsidP="004E776A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Ако је понуда поднета по истеку наведеног времена и сата за доставу сматраће се неблаговременом и биће неотворена враћена понуђачу.</w:t>
            </w:r>
          </w:p>
          <w:p w:rsidR="006B32EE" w:rsidRDefault="006B32EE" w:rsidP="004E776A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О поступку отварања понуда сачињава се Записник. Записник о отварању понуда може се доставити Понуђачу</w:t>
            </w:r>
          </w:p>
          <w:p w:rsidR="006B32EE" w:rsidRDefault="006B32EE" w:rsidP="004E776A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у року од 10 дана од дана отварања понуде на његов лични захтев упућен путем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маила</w:t>
            </w:r>
            <w:r w:rsidR="006E2B4F"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  <w:hyperlink r:id="rId8" w:history="1"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  <w:lang w:val="sr-Latn-CS"/>
                </w:rPr>
                <w:t>pravnasluzbankc</w:t>
              </w:r>
              <w:r w:rsidRPr="0089466A">
                <w:rPr>
                  <w:rStyle w:val="Hyperlink"/>
                  <w:rFonts w:ascii="Arial" w:hAnsi="Arial" w:cs="Arial"/>
                  <w:sz w:val="24"/>
                  <w:szCs w:val="24"/>
                </w:rPr>
                <w:t>@gmail.com</w:t>
              </w:r>
            </w:hyperlink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и</w:t>
            </w:r>
            <w:r w:rsidR="00431BFF">
              <w:rPr>
                <w:rFonts w:ascii="Arial" w:hAnsi="Arial" w:cs="Arial"/>
                <w:sz w:val="24"/>
                <w:szCs w:val="24"/>
                <w:lang w:val="sr-Cyrl-CS"/>
              </w:rPr>
              <w:t>ли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путем поште Установа Нишки културни центар, Станоја Бунушевца бб</w:t>
            </w:r>
          </w:p>
          <w:p w:rsidR="00B050A7" w:rsidRPr="00B050A7" w:rsidRDefault="00B050A7" w:rsidP="004E776A">
            <w:pPr>
              <w:jc w:val="both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4E776A">
            <w:pPr>
              <w:jc w:val="both"/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  <w:p w:rsidR="0071593A" w:rsidRPr="004E776A" w:rsidRDefault="0071593A" w:rsidP="004E776A">
            <w:pPr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Рок </w:t>
            </w:r>
            <w:r w:rsidR="00BB2F6D">
              <w:rPr>
                <w:rFonts w:ascii="Arial" w:hAnsi="Arial" w:cs="Arial"/>
                <w:sz w:val="24"/>
                <w:szCs w:val="24"/>
                <w:lang w:val="sr-Cyrl-CS"/>
              </w:rPr>
              <w:t>извршења услуге</w:t>
            </w:r>
          </w:p>
        </w:tc>
        <w:tc>
          <w:tcPr>
            <w:tcW w:w="4788" w:type="dxa"/>
          </w:tcPr>
          <w:p w:rsidR="00AC2B8F" w:rsidRDefault="00F57F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Наручилац предметне услуге уговара на период од годину дана, почев од дана потписивања уговора</w:t>
            </w:r>
            <w:r w:rsidR="00AC2B8F">
              <w:rPr>
                <w:rFonts w:ascii="Arial" w:hAnsi="Arial" w:cs="Arial"/>
                <w:sz w:val="24"/>
                <w:szCs w:val="24"/>
                <w:lang w:val="sr-Cyrl-CS"/>
              </w:rPr>
              <w:t>.</w:t>
            </w:r>
          </w:p>
          <w:p w:rsidR="00F006CD" w:rsidRDefault="00F57FC8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Извршење услуге смештаја вршиће се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 xml:space="preserve">сукцесивно по </w:t>
            </w:r>
            <w:r w:rsidR="00AC2B8F">
              <w:rPr>
                <w:rFonts w:ascii="Arial" w:hAnsi="Arial" w:cs="Arial"/>
                <w:sz w:val="24"/>
                <w:szCs w:val="24"/>
                <w:lang w:val="sr-Cyrl-RS"/>
              </w:rPr>
              <w:t>појединачном</w:t>
            </w:r>
            <w:r w:rsidR="00012C24">
              <w:rPr>
                <w:rFonts w:ascii="Arial" w:hAnsi="Arial" w:cs="Arial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захтеву Наручиоца.</w:t>
            </w:r>
          </w:p>
          <w:p w:rsidR="004E776A" w:rsidRPr="00674C31" w:rsidRDefault="004E776A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за изврш</w:t>
            </w:r>
            <w:r w:rsidR="00CE381C">
              <w:rPr>
                <w:rFonts w:ascii="Arial" w:hAnsi="Arial" w:cs="Arial"/>
                <w:sz w:val="24"/>
                <w:szCs w:val="24"/>
                <w:lang w:val="sr-Cyrl-CS"/>
              </w:rPr>
              <w:t xml:space="preserve">ење </w:t>
            </w:r>
            <w:r w:rsidR="00012C24">
              <w:rPr>
                <w:rFonts w:ascii="Arial" w:hAnsi="Arial" w:cs="Arial"/>
                <w:sz w:val="24"/>
                <w:szCs w:val="24"/>
                <w:lang w:val="sr-Cyrl-CS"/>
              </w:rPr>
              <w:t xml:space="preserve">услуге </w:t>
            </w:r>
            <w:r w:rsidR="00C127BD"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 појединачном захтеву је </w:t>
            </w:r>
            <w:r w:rsidR="00C127BD"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дана.</w:t>
            </w:r>
          </w:p>
          <w:p w:rsidR="0071593A" w:rsidRPr="0071593A" w:rsidRDefault="00BA7F17" w:rsidP="005E2113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F006CD" w:rsidTr="00F006CD">
        <w:tc>
          <w:tcPr>
            <w:tcW w:w="4788" w:type="dxa"/>
          </w:tcPr>
          <w:p w:rsidR="00F006CD" w:rsidRDefault="00F006CD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Услови плаћања</w:t>
            </w:r>
          </w:p>
        </w:tc>
        <w:tc>
          <w:tcPr>
            <w:tcW w:w="4788" w:type="dxa"/>
          </w:tcPr>
          <w:p w:rsidR="0071593A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се врши у року од најдуже 45 дана од дана регистровања фактуре у ЦРФ, а која се испоставља након сваке извршене услуге.</w:t>
            </w:r>
          </w:p>
          <w:p w:rsidR="008834E9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Није дозвољено тражење авансног плаћања.</w:t>
            </w:r>
          </w:p>
          <w:p w:rsidR="008834E9" w:rsidRPr="00B0562C" w:rsidRDefault="008834E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Плаћање ће бити извршено налогом за пренос.</w:t>
            </w:r>
          </w:p>
          <w:p w:rsidR="0071593A" w:rsidRPr="0071593A" w:rsidRDefault="0071593A">
            <w:pPr>
              <w:rPr>
                <w:rFonts w:ascii="Arial" w:hAnsi="Arial" w:cs="Arial"/>
                <w:sz w:val="24"/>
                <w:szCs w:val="24"/>
                <w:lang w:val="sr-Latn-CS"/>
              </w:rPr>
            </w:pPr>
          </w:p>
        </w:tc>
      </w:tr>
    </w:tbl>
    <w:p w:rsidR="007E2BE2" w:rsidRDefault="007E2BE2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CE381C" w:rsidRPr="0071593A" w:rsidRDefault="00CE381C">
      <w:pPr>
        <w:rPr>
          <w:rFonts w:ascii="Arial" w:hAnsi="Arial" w:cs="Arial"/>
          <w:sz w:val="24"/>
          <w:szCs w:val="24"/>
          <w:lang w:val="sr-Cyrl-CS"/>
        </w:rPr>
      </w:pPr>
    </w:p>
    <w:p w:rsidR="0071593A" w:rsidRPr="00CE381C" w:rsidRDefault="0071593A">
      <w:pPr>
        <w:rPr>
          <w:rFonts w:ascii="Arial" w:hAnsi="Arial" w:cs="Arial"/>
          <w:b/>
          <w:sz w:val="24"/>
          <w:szCs w:val="24"/>
          <w:lang w:val="sr-Cyrl-CS"/>
        </w:rPr>
      </w:pPr>
      <w:r w:rsidRPr="00CE381C">
        <w:rPr>
          <w:rFonts w:ascii="Arial" w:hAnsi="Arial" w:cs="Arial"/>
          <w:b/>
          <w:sz w:val="24"/>
          <w:szCs w:val="24"/>
          <w:lang w:val="sr-Cyrl-CS"/>
        </w:rPr>
        <w:lastRenderedPageBreak/>
        <w:t>ОБРАЗАЦ ПОНУДЕ</w:t>
      </w:r>
    </w:p>
    <w:p w:rsidR="0071593A" w:rsidRPr="0071593A" w:rsidRDefault="0071593A" w:rsidP="007E39E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ОПШТИ ПОДАЦИ О ПОНУЂАЧУ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530"/>
        <w:gridCol w:w="4326"/>
      </w:tblGrid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Назив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Адреса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Матични број понуђача: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Порески идентификациони број понуђача </w:t>
            </w:r>
            <w:r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ПИБ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Име особе за контакт: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Електронска адреса понуђача </w:t>
            </w:r>
            <w:r>
              <w:rPr>
                <w:rFonts w:ascii="Arial" w:hAnsi="Arial" w:cs="Arial"/>
                <w:sz w:val="24"/>
                <w:szCs w:val="24"/>
              </w:rPr>
              <w:t>(e-mail):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Телефон: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Број рачуна понуђача и назив банке:</w:t>
            </w:r>
          </w:p>
          <w:p w:rsidR="0071593A" w:rsidRP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Лице овлашћено за потписивање уговора:</w:t>
            </w: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593A" w:rsidTr="0071593A"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Шифра делатности:</w:t>
            </w:r>
          </w:p>
        </w:tc>
        <w:tc>
          <w:tcPr>
            <w:tcW w:w="4788" w:type="dxa"/>
          </w:tcPr>
          <w:p w:rsidR="0071593A" w:rsidRDefault="0071593A" w:rsidP="0071593A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71593A" w:rsidRPr="0071593A" w:rsidRDefault="0071593A" w:rsidP="0033010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ПОНУДУ ПОДНОСИ:</w:t>
      </w:r>
    </w:p>
    <w:p w:rsidR="0071593A" w:rsidRDefault="0071593A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71593A" w:rsidTr="0071593A">
        <w:tc>
          <w:tcPr>
            <w:tcW w:w="9576" w:type="dxa"/>
          </w:tcPr>
          <w:p w:rsidR="0071593A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) 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САМОСТАЛНО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Б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ПОДИЗВОЂАЧЕМ</w:t>
            </w:r>
          </w:p>
        </w:tc>
      </w:tr>
      <w:tr w:rsidR="006A5E69" w:rsidTr="0071593A">
        <w:tc>
          <w:tcPr>
            <w:tcW w:w="9576" w:type="dxa"/>
          </w:tcPr>
          <w:p w:rsidR="006A5E69" w:rsidRPr="006A5E69" w:rsidRDefault="006A5E69" w:rsidP="006A5E69">
            <w:pPr>
              <w:pStyle w:val="ListParagraph"/>
              <w:ind w:left="0"/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 xml:space="preserve"> КАО ЗАЈЕДНИЧКУ ПОНУДУ</w:t>
            </w:r>
          </w:p>
        </w:tc>
      </w:tr>
    </w:tbl>
    <w:p w:rsidR="00BA7F17" w:rsidRDefault="00BA7F17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5E2113" w:rsidRDefault="005E2113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7E2BE2" w:rsidRPr="001E1779" w:rsidRDefault="007E2BE2" w:rsidP="001E177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71593A">
      <w:pPr>
        <w:pStyle w:val="ListParagraph"/>
        <w:rPr>
          <w:rFonts w:ascii="Arial" w:hAnsi="Arial" w:cs="Arial"/>
          <w:sz w:val="24"/>
          <w:szCs w:val="24"/>
          <w:lang w:val="sr-Cyrl-CS"/>
        </w:rPr>
      </w:pPr>
    </w:p>
    <w:p w:rsidR="006A5E69" w:rsidRPr="00330100" w:rsidRDefault="006A5E69" w:rsidP="009C3A8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C3A81">
        <w:rPr>
          <w:rFonts w:ascii="Arial" w:hAnsi="Arial" w:cs="Arial"/>
          <w:sz w:val="24"/>
          <w:szCs w:val="24"/>
          <w:lang w:val="sr-Cyrl-CS"/>
        </w:rPr>
        <w:lastRenderedPageBreak/>
        <w:t>ОПИС ПРЕ</w:t>
      </w:r>
      <w:r w:rsidR="005E2113">
        <w:rPr>
          <w:rFonts w:ascii="Arial" w:hAnsi="Arial" w:cs="Arial"/>
          <w:sz w:val="24"/>
          <w:szCs w:val="24"/>
          <w:lang w:val="sr-Cyrl-CS"/>
        </w:rPr>
        <w:t>ДМЕТА НАБАВКЕ –</w:t>
      </w:r>
      <w:r w:rsidR="00330100">
        <w:rPr>
          <w:rFonts w:ascii="Arial" w:hAnsi="Arial" w:cs="Arial"/>
          <w:sz w:val="24"/>
          <w:szCs w:val="24"/>
          <w:lang w:val="sr-Cyrl-CS"/>
        </w:rPr>
        <w:t xml:space="preserve"> Услуге смештаја за редовне програ</w:t>
      </w:r>
      <w:r w:rsidR="000C7D53">
        <w:rPr>
          <w:rFonts w:ascii="Arial" w:hAnsi="Arial" w:cs="Arial"/>
          <w:sz w:val="24"/>
          <w:szCs w:val="24"/>
          <w:lang w:val="sr-Cyrl-CS"/>
        </w:rPr>
        <w:t>ме и манифестације</w:t>
      </w:r>
      <w:r w:rsidR="000E3E76">
        <w:rPr>
          <w:rFonts w:ascii="Arial" w:hAnsi="Arial" w:cs="Arial"/>
          <w:sz w:val="24"/>
          <w:szCs w:val="24"/>
          <w:lang w:val="sr-Cyrl-CS"/>
        </w:rPr>
        <w:t xml:space="preserve"> без категорије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без ПДВ – 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Цена са ПДВ – ом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 начин плаћања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важења понуде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Рок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Гарантни период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  <w:tr w:rsidR="006A5E69" w:rsidTr="006A5E69"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Место и начин испоруке</w:t>
            </w: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</w:tcPr>
          <w:p w:rsidR="006A5E69" w:rsidRDefault="006A5E69" w:rsidP="006A5E69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</w:tc>
      </w:tr>
    </w:tbl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Датум                      </w:t>
      </w:r>
      <w:r w:rsidR="005E2113">
        <w:rPr>
          <w:rFonts w:ascii="Arial" w:hAnsi="Arial" w:cs="Arial"/>
          <w:sz w:val="24"/>
          <w:szCs w:val="24"/>
          <w:lang w:val="sr-Cyrl-CS"/>
        </w:rPr>
        <w:t xml:space="preserve">                                 </w:t>
      </w: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Понуђач</w:t>
      </w: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6A5E69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2F7CF5" w:rsidRDefault="006A5E69" w:rsidP="006A5E69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___________                                         </w:t>
      </w:r>
      <w:r w:rsidR="002F7CF5">
        <w:rPr>
          <w:rFonts w:ascii="Arial" w:hAnsi="Arial" w:cs="Arial"/>
          <w:sz w:val="24"/>
          <w:szCs w:val="24"/>
          <w:lang w:val="sr-Cyrl-CS"/>
        </w:rPr>
        <w:t xml:space="preserve">                                         ________________</w:t>
      </w:r>
    </w:p>
    <w:p w:rsidR="000C7D53" w:rsidRDefault="000C7D53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0C7D53" w:rsidRDefault="000C7D53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CE381C" w:rsidRDefault="00CE381C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330100" w:rsidRDefault="000C7D53" w:rsidP="009F3AB5">
      <w:pPr>
        <w:pStyle w:val="Heading1"/>
        <w:jc w:val="center"/>
        <w:rPr>
          <w:lang w:val="sr-Cyrl-CS"/>
        </w:rPr>
      </w:pPr>
      <w:r>
        <w:rPr>
          <w:lang w:val="sr-Cyrl-CS"/>
        </w:rPr>
        <w:lastRenderedPageBreak/>
        <w:t xml:space="preserve">ОБРАЗАЦ СТРУКТУРЕ ЦЕНЕ </w:t>
      </w:r>
    </w:p>
    <w:p w:rsidR="009F3AB5" w:rsidRDefault="009F3AB5" w:rsidP="009F3AB5">
      <w:pPr>
        <w:rPr>
          <w:lang w:val="sr-Cyrl-CS"/>
        </w:rPr>
      </w:pPr>
    </w:p>
    <w:p w:rsidR="009F3AB5" w:rsidRPr="009F3AB5" w:rsidRDefault="009F3AB5" w:rsidP="009F3AB5">
      <w:pPr>
        <w:rPr>
          <w:lang w:val="sr-Cyrl-C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94"/>
        <w:gridCol w:w="1151"/>
        <w:gridCol w:w="1152"/>
        <w:gridCol w:w="1200"/>
        <w:gridCol w:w="1200"/>
        <w:gridCol w:w="1216"/>
        <w:gridCol w:w="1276"/>
      </w:tblGrid>
      <w:tr w:rsidR="00330100" w:rsidRPr="00D76502" w:rsidTr="00E0381C">
        <w:trPr>
          <w:trHeight w:val="625"/>
        </w:trPr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Ред.бр.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Опис услуге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Јединица мере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Количина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без пдв-а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Јединична цена са пдв-ом</w:t>
            </w: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без пдв-а</w:t>
            </w: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Укупна цена са пдв-ом</w:t>
            </w: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1.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2.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6"/>
                <w:szCs w:val="16"/>
                <w:lang w:val="sr-Cyrl-CS"/>
              </w:rPr>
            </w:pPr>
            <w:r w:rsidRPr="001735B4">
              <w:rPr>
                <w:rFonts w:ascii="Arial" w:eastAsia="Calibri" w:hAnsi="Arial" w:cs="Arial"/>
                <w:sz w:val="16"/>
                <w:szCs w:val="16"/>
                <w:lang w:val="sr-Cyrl-CS"/>
              </w:rPr>
              <w:t>Ноћење са доручком,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3.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300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76502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4.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полупансиони, боравишном 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600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>5.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Смештај на бази пуног пансиона, боравишном таксом и осигурањем у једнокреветној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t xml:space="preserve">6. 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 xml:space="preserve">Смештај на бази пуног пансиона, боравишном </w:t>
            </w: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lastRenderedPageBreak/>
              <w:t>таксом и осигурањем у двокреветној соби</w:t>
            </w:r>
          </w:p>
        </w:tc>
        <w:tc>
          <w:tcPr>
            <w:tcW w:w="1151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lastRenderedPageBreak/>
              <w:t>ноћење</w:t>
            </w:r>
          </w:p>
        </w:tc>
        <w:tc>
          <w:tcPr>
            <w:tcW w:w="1152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  <w:r w:rsidRPr="001735B4">
              <w:rPr>
                <w:rFonts w:ascii="Arial" w:eastAsia="Calibri" w:hAnsi="Arial" w:cs="Arial"/>
                <w:sz w:val="18"/>
                <w:szCs w:val="18"/>
                <w:lang w:val="sr-Cyrl-CS"/>
              </w:rPr>
              <w:t>20</w:t>
            </w: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00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  <w:tr w:rsidR="00330100" w:rsidRPr="00DC0686" w:rsidTr="00E0381C">
        <w:tc>
          <w:tcPr>
            <w:tcW w:w="675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20"/>
                <w:szCs w:val="20"/>
                <w:lang w:val="sr-Cyrl-CS"/>
              </w:rPr>
            </w:pPr>
            <w:r w:rsidRPr="001735B4">
              <w:rPr>
                <w:rFonts w:ascii="Arial" w:eastAsia="Calibri" w:hAnsi="Arial" w:cs="Arial"/>
                <w:sz w:val="20"/>
                <w:szCs w:val="20"/>
                <w:lang w:val="sr-Cyrl-CS"/>
              </w:rPr>
              <w:lastRenderedPageBreak/>
              <w:t>7.</w:t>
            </w:r>
          </w:p>
        </w:tc>
        <w:tc>
          <w:tcPr>
            <w:tcW w:w="1594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b/>
                <w:lang w:val="sr-Cyrl-CS"/>
              </w:rPr>
            </w:pPr>
            <w:r w:rsidRPr="001735B4">
              <w:rPr>
                <w:rFonts w:ascii="Arial" w:eastAsia="Calibri" w:hAnsi="Arial" w:cs="Arial"/>
                <w:b/>
                <w:lang w:val="sr-Cyrl-CS"/>
              </w:rPr>
              <w:t>УКУПНО</w:t>
            </w:r>
          </w:p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4703" w:type="dxa"/>
            <w:gridSpan w:val="4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1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  <w:tc>
          <w:tcPr>
            <w:tcW w:w="1276" w:type="dxa"/>
            <w:shd w:val="clear" w:color="auto" w:fill="auto"/>
          </w:tcPr>
          <w:p w:rsidR="00330100" w:rsidRPr="001735B4" w:rsidRDefault="00330100" w:rsidP="00E0381C">
            <w:pPr>
              <w:jc w:val="center"/>
              <w:rPr>
                <w:rFonts w:ascii="Arial" w:eastAsia="Calibri" w:hAnsi="Arial" w:cs="Arial"/>
                <w:sz w:val="18"/>
                <w:szCs w:val="18"/>
                <w:lang w:val="sr-Cyrl-CS"/>
              </w:rPr>
            </w:pPr>
          </w:p>
        </w:tc>
      </w:tr>
    </w:tbl>
    <w:p w:rsidR="00330100" w:rsidRPr="00FB4774" w:rsidRDefault="00330100" w:rsidP="00330100">
      <w:pPr>
        <w:rPr>
          <w:rFonts w:ascii="Arial" w:hAnsi="Arial" w:cs="Arial"/>
          <w:lang w:val="sr-Cyrl-CS"/>
        </w:rPr>
      </w:pPr>
    </w:p>
    <w:p w:rsidR="004E776A" w:rsidRPr="00D26641" w:rsidRDefault="004E776A" w:rsidP="004E776A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Изражене количине у спецификацији су дате оријентационо као потреба Наручиоца до краја 2025.године. Укупна вредност за све тражене количине користиће се за рангирање пристиглих понуда.</w:t>
      </w:r>
    </w:p>
    <w:p w:rsidR="000B547C" w:rsidRPr="009F3AB5" w:rsidRDefault="004E776A" w:rsidP="00330100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Уговор ће бити закључен на вредн</w:t>
      </w:r>
      <w:r w:rsidR="00BD5EE2">
        <w:rPr>
          <w:rFonts w:ascii="Arial" w:hAnsi="Arial" w:cs="Arial"/>
          <w:sz w:val="24"/>
          <w:szCs w:val="24"/>
          <w:lang w:val="sr-Cyrl-RS"/>
        </w:rPr>
        <w:t>ост до процењене вредности предв</w:t>
      </w:r>
      <w:r>
        <w:rPr>
          <w:rFonts w:ascii="Arial" w:hAnsi="Arial" w:cs="Arial"/>
          <w:sz w:val="24"/>
          <w:szCs w:val="24"/>
          <w:lang w:val="sr-Cyrl-RS"/>
        </w:rPr>
        <w:t>иђене Планом набавки на које се закон не примењује бр.372 од 13.3.2025.године.Наручилац није у обавези да у периоду у ком буде закључен Уговор изв</w:t>
      </w:r>
      <w:r w:rsidR="009F3AB5">
        <w:rPr>
          <w:rFonts w:ascii="Arial" w:hAnsi="Arial" w:cs="Arial"/>
          <w:sz w:val="24"/>
          <w:szCs w:val="24"/>
          <w:lang w:val="sr-Cyrl-RS"/>
        </w:rPr>
        <w:t xml:space="preserve">рши набавку целокупних количина и утроши </w:t>
      </w:r>
      <w:r w:rsidR="009D0165">
        <w:rPr>
          <w:rFonts w:ascii="Arial" w:hAnsi="Arial" w:cs="Arial"/>
          <w:sz w:val="24"/>
          <w:szCs w:val="24"/>
          <w:lang w:val="sr-Cyrl-RS"/>
        </w:rPr>
        <w:t xml:space="preserve">укупан </w:t>
      </w:r>
      <w:r w:rsidR="009F3AB5">
        <w:rPr>
          <w:rFonts w:ascii="Arial" w:hAnsi="Arial" w:cs="Arial"/>
          <w:sz w:val="24"/>
          <w:szCs w:val="24"/>
          <w:lang w:val="sr-Cyrl-RS"/>
        </w:rPr>
        <w:t xml:space="preserve">износ процењене вредности на који буде закључен. </w:t>
      </w:r>
      <w:r>
        <w:rPr>
          <w:rFonts w:ascii="Arial" w:hAnsi="Arial" w:cs="Arial"/>
          <w:sz w:val="24"/>
          <w:szCs w:val="24"/>
          <w:lang w:val="sr-Cyrl-RS"/>
        </w:rPr>
        <w:t>Уговор ће престати да важи и пре истека рока на који је закључен уколико дотигне укупан износ процењене вредности на који буде закључен.</w:t>
      </w:r>
    </w:p>
    <w:p w:rsidR="000B547C" w:rsidRDefault="002A5798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 xml:space="preserve">    </w:t>
      </w:r>
      <w:r w:rsidR="000B547C">
        <w:rPr>
          <w:rFonts w:ascii="Arial" w:eastAsia="Calibri" w:hAnsi="Arial" w:cs="Arial"/>
          <w:sz w:val="24"/>
          <w:szCs w:val="24"/>
          <w:lang w:val="sr-Cyrl-CS"/>
        </w:rPr>
        <w:t>Датум                                                                                         Потпис понуђача</w:t>
      </w: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sr-Cyrl-CS"/>
        </w:rPr>
        <w:t>__________                                                                               ________________</w:t>
      </w:r>
    </w:p>
    <w:p w:rsidR="000B547C" w:rsidRDefault="000B547C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D5EE2" w:rsidRDefault="00BD5EE2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D5EE2" w:rsidRDefault="00BD5EE2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D5EE2" w:rsidRDefault="00BD5EE2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D5EE2" w:rsidRDefault="00BD5EE2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D5EE2" w:rsidRDefault="00BD5EE2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D5EE2" w:rsidRDefault="00BD5EE2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D5EE2" w:rsidRDefault="00BD5EE2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D5EE2" w:rsidRDefault="00BD5EE2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BD5EE2" w:rsidRPr="009F3AB5" w:rsidRDefault="00BD5EE2" w:rsidP="00330100">
      <w:pPr>
        <w:jc w:val="both"/>
        <w:rPr>
          <w:rFonts w:ascii="Arial" w:eastAsia="Calibri" w:hAnsi="Arial" w:cs="Arial"/>
          <w:sz w:val="24"/>
          <w:szCs w:val="24"/>
          <w:lang w:val="sr-Cyrl-RS"/>
        </w:rPr>
      </w:pPr>
    </w:p>
    <w:p w:rsidR="000E3DB4" w:rsidRPr="0027296C" w:rsidRDefault="000E3DB4" w:rsidP="006A5E69">
      <w:pPr>
        <w:rPr>
          <w:rFonts w:ascii="Arial" w:hAnsi="Arial" w:cs="Arial"/>
          <w:sz w:val="24"/>
          <w:szCs w:val="24"/>
          <w:lang w:val="sr-Cyrl-CS"/>
        </w:rPr>
      </w:pPr>
    </w:p>
    <w:p w:rsidR="00B050A7" w:rsidRDefault="0052585F" w:rsidP="0052585F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2585F">
        <w:rPr>
          <w:rFonts w:ascii="Times New Roman" w:hAnsi="Times New Roman" w:cs="Times New Roman"/>
          <w:b/>
          <w:sz w:val="24"/>
          <w:szCs w:val="24"/>
          <w:lang w:val="sr-Cyrl-CS"/>
        </w:rPr>
        <w:t>УПУТСТВО ЗА ИЗРАДУ И ПОДНОШЕЊЕ ПОНУДА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ИЗРАДА ПОНУДЕ</w:t>
      </w:r>
    </w:p>
    <w:p w:rsidR="0052585F" w:rsidRDefault="0052585F" w:rsidP="0052585F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2585F" w:rsidRDefault="0052585F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52585F">
        <w:rPr>
          <w:rFonts w:ascii="Times New Roman" w:hAnsi="Times New Roman" w:cs="Times New Roman"/>
          <w:sz w:val="28"/>
          <w:szCs w:val="28"/>
          <w:lang w:val="sr-Cyrl-CS"/>
        </w:rPr>
        <w:t>Понуда се сачињава у писаном облику у складу са обрасцима датим у овом Позиву. 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колико се понуда доставља електронским путем, иста се у целини скенира и доставља наручиоцу у </w:t>
      </w:r>
      <w:r>
        <w:rPr>
          <w:rFonts w:ascii="Times New Roman" w:hAnsi="Times New Roman" w:cs="Times New Roman"/>
          <w:sz w:val="28"/>
          <w:szCs w:val="28"/>
          <w:lang w:val="sr-Latn-CS"/>
        </w:rPr>
        <w:t>pdf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 формату.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ПОДНОШЕЊЕ ПОНУДЕ</w:t>
      </w:r>
    </w:p>
    <w:p w:rsidR="00792CBB" w:rsidRDefault="00792CBB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се може поднети непосредно, путем поште или електронским путем на адресу електронске поште наведену у овом позиву.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ЈЕЗИК ПОНУДЕ</w:t>
      </w: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Понуда мора бити сачињена на српском језику.Ако је неки доказ или документ на страном језику, исти мора бити преведен на српски језик и оверен од стране овлашћеног преводиоца.</w:t>
      </w:r>
    </w:p>
    <w:p w:rsidR="00792CBB" w:rsidRDefault="00792CB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92CBB" w:rsidRDefault="00792CBB" w:rsidP="0052585F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ЦЕНА У ПОНУДИ</w:t>
      </w:r>
    </w:p>
    <w:p w:rsidR="00792CBB" w:rsidRDefault="005D2192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у понуди изразити у динарима.</w:t>
      </w:r>
    </w:p>
    <w:p w:rsidR="006F2C9B" w:rsidRDefault="006F2C9B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У об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расцу понуде исказати  </w:t>
      </w:r>
      <w:r w:rsidR="000B547C">
        <w:rPr>
          <w:rFonts w:ascii="Times New Roman" w:hAnsi="Times New Roman" w:cs="Times New Roman"/>
          <w:sz w:val="28"/>
          <w:szCs w:val="28"/>
          <w:lang w:val="sr-Cyrl-CS"/>
        </w:rPr>
        <w:t>укупну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цену без</w:t>
      </w:r>
      <w:r w:rsidR="00E13F57">
        <w:rPr>
          <w:rFonts w:ascii="Times New Roman" w:hAnsi="Times New Roman" w:cs="Times New Roman"/>
          <w:sz w:val="28"/>
          <w:szCs w:val="28"/>
          <w:lang w:val="sr-Cyrl-CS"/>
        </w:rPr>
        <w:t xml:space="preserve"> ПДВ-а и са ПДВ –ом</w:t>
      </w:r>
      <w:r w:rsidR="00E13F57">
        <w:rPr>
          <w:rFonts w:ascii="Times New Roman" w:hAnsi="Times New Roman" w:cs="Times New Roman"/>
          <w:sz w:val="28"/>
          <w:szCs w:val="28"/>
        </w:rPr>
        <w:t>.</w:t>
      </w:r>
    </w:p>
    <w:p w:rsidR="000B547C" w:rsidRPr="000B547C" w:rsidRDefault="000B547C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 xml:space="preserve">У обрасцу структуре цена понуђач треба да наведе јединичну цену без ПДВ-а, јединичну цену </w:t>
      </w:r>
      <w:r w:rsidR="00E546EA">
        <w:rPr>
          <w:rFonts w:ascii="Times New Roman" w:hAnsi="Times New Roman" w:cs="Times New Roman"/>
          <w:sz w:val="28"/>
          <w:szCs w:val="28"/>
          <w:lang w:val="sr-Cyrl-CS"/>
        </w:rPr>
        <w:t>са ПДВ-ом, укупну цену без ПДВ-а и укупну цену са ПДВ-ом.</w:t>
      </w:r>
    </w:p>
    <w:p w:rsidR="00BB7AD5" w:rsidRDefault="00BB7AD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Цене морају бити јасно и читко уписане.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Понуђена цена мора да садржи све елементе структуре цене, тако да покрива све трошкове које понуђач има у реализацији набавке.</w:t>
      </w:r>
    </w:p>
    <w:p w:rsidR="00984AB0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84AB0" w:rsidRDefault="00984AB0" w:rsidP="0052585F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РОК ВАЖЕЊА ПОНУДЕ</w:t>
      </w:r>
    </w:p>
    <w:p w:rsidR="00B0562C" w:rsidRDefault="00984AB0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Рок важења понуде не може бити краћи од 30 дана од дана отварања понуда.</w:t>
      </w:r>
    </w:p>
    <w:p w:rsidR="009F3AB5" w:rsidRDefault="009F3AB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0562C" w:rsidRDefault="00B0562C" w:rsidP="00B0562C">
      <w:pPr>
        <w:spacing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СРЕДСТВА ФИНАНСИЈСКОГ ОБЕЗБЕЂЕЊА</w:t>
      </w:r>
    </w:p>
    <w:p w:rsidR="00B0562C" w:rsidRDefault="00B0562C" w:rsidP="00B05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Изабрани п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онуђач се обавезује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да у тренутку закључења </w:t>
      </w:r>
      <w:r w:rsidRPr="00305771">
        <w:rPr>
          <w:rFonts w:ascii="Times New Roman" w:hAnsi="Times New Roman" w:cs="Times New Roman"/>
          <w:sz w:val="28"/>
          <w:szCs w:val="28"/>
          <w:lang w:val="sr-Cyrl-CS"/>
        </w:rPr>
        <w:t>Уговора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достави наручиоцу, 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једну бланко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сопствену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соло меницу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са меничним овлашћењем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>,на износ од 10% од укупне вредности уговора без ПДВ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–а, за испуњење уговорних обавеза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, која представља средство </w:t>
      </w:r>
      <w:r>
        <w:rPr>
          <w:rFonts w:ascii="Times New Roman" w:hAnsi="Times New Roman" w:cs="Times New Roman"/>
          <w:sz w:val="28"/>
          <w:szCs w:val="28"/>
          <w:lang w:val="sr-Cyrl-CS"/>
        </w:rPr>
        <w:t>финансијског</w:t>
      </w:r>
      <w:r w:rsidRPr="009E1D64">
        <w:rPr>
          <w:rFonts w:ascii="Times New Roman" w:hAnsi="Times New Roman" w:cs="Times New Roman"/>
          <w:sz w:val="28"/>
          <w:szCs w:val="28"/>
          <w:lang w:val="sr-Cyrl-CS"/>
        </w:rPr>
        <w:t xml:space="preserve"> обезбеђења и којом гарантује уредно испуњење свих својих уговорних обавеза, односно уредно извршење уговореног посла и ев</w:t>
      </w:r>
      <w:r>
        <w:rPr>
          <w:rFonts w:ascii="Times New Roman" w:hAnsi="Times New Roman" w:cs="Times New Roman"/>
          <w:sz w:val="28"/>
          <w:szCs w:val="28"/>
          <w:lang w:val="sr-Cyrl-CS"/>
        </w:rPr>
        <w:t>ентуално плаћање уговорне казне са роком важности најмање 30 дана дуже од периода важења уговора.</w:t>
      </w:r>
    </w:p>
    <w:p w:rsidR="00B0562C" w:rsidRDefault="00B0562C" w:rsidP="00B05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Меница се држи код Наручиоца све до испуњења свих уговорених обавеза изабраног понуђача, након чега се, на писмени захтев, враћају истом.</w:t>
      </w:r>
    </w:p>
    <w:p w:rsidR="00B0562C" w:rsidRPr="007D060D" w:rsidRDefault="00B0562C" w:rsidP="00B05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Истовремено, предајом менице изабрани понуђач се обавезује да Наручиоцу преда оверену копију картона са депонованим потписима овлашћеног лица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овера од стране пословне банке не старија од 30 дана од дана предаје менице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>, као и овлашћења за Наручиоца да се меница може попунити у складу са Уговором.</w:t>
      </w:r>
    </w:p>
    <w:p w:rsidR="00B0562C" w:rsidRDefault="00B0562C" w:rsidP="00B056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Меница мора бити регистрована у Регистру меница и овлашћења, сагласно Одлуци о ближим условима, садржини и начину вођења регистра меница и овлашћења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број 56/11,80/15,76/16,82/17 и 14/20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Народне Банке Србије.</w:t>
      </w:r>
    </w:p>
    <w:p w:rsidR="00B0562C" w:rsidRDefault="00B0562C" w:rsidP="00F84D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lastRenderedPageBreak/>
        <w:t>Средства финансијског обезбеђења могу гласити на члана групе понуђача или понуђача, али не и на подизвођача.</w:t>
      </w:r>
    </w:p>
    <w:p w:rsidR="00305771" w:rsidRDefault="00305771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F3AB5" w:rsidRDefault="009F3AB5" w:rsidP="0052585F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22D9A" w:rsidRDefault="00711EE0" w:rsidP="00305771">
      <w:pP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САДРЖИНУ ПОНУДЕ ЧИНЕ:</w:t>
      </w:r>
    </w:p>
    <w:p w:rsidR="00966E21" w:rsidRPr="009F3AB5" w:rsidRDefault="00966E21" w:rsidP="00305771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F3AB5">
        <w:rPr>
          <w:rFonts w:ascii="Times New Roman" w:hAnsi="Times New Roman" w:cs="Times New Roman"/>
          <w:b/>
          <w:sz w:val="28"/>
          <w:szCs w:val="28"/>
          <w:lang w:val="sr-Cyrl-CS"/>
        </w:rPr>
        <w:t>1.Попуњен и потписан Образац понуде</w:t>
      </w:r>
    </w:p>
    <w:p w:rsidR="00E546EA" w:rsidRPr="009F3AB5" w:rsidRDefault="00E546EA" w:rsidP="00305771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F3AB5">
        <w:rPr>
          <w:rFonts w:ascii="Times New Roman" w:hAnsi="Times New Roman" w:cs="Times New Roman"/>
          <w:b/>
          <w:sz w:val="28"/>
          <w:szCs w:val="28"/>
          <w:lang w:val="sr-Cyrl-CS"/>
        </w:rPr>
        <w:t>2. Попуњен и потписан Образац структуре цене</w:t>
      </w:r>
    </w:p>
    <w:p w:rsidR="00E546EA" w:rsidRPr="009F3AB5" w:rsidRDefault="009F3AB5" w:rsidP="00305771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9F3AB5">
        <w:rPr>
          <w:rFonts w:ascii="Times New Roman" w:hAnsi="Times New Roman" w:cs="Times New Roman"/>
          <w:b/>
          <w:sz w:val="28"/>
          <w:szCs w:val="28"/>
          <w:lang w:val="sr-Cyrl-CS"/>
        </w:rPr>
        <w:t>3. П</w:t>
      </w:r>
      <w:r w:rsidR="00E546EA" w:rsidRPr="009F3AB5">
        <w:rPr>
          <w:rFonts w:ascii="Times New Roman" w:hAnsi="Times New Roman" w:cs="Times New Roman"/>
          <w:b/>
          <w:sz w:val="28"/>
          <w:szCs w:val="28"/>
          <w:lang w:val="sr-Cyrl-CS"/>
        </w:rPr>
        <w:t>исана изјава привредног субјекта дата под кривичном и материјалном одговорношћу на меморандуму привредног субјекта да испуњава услове из предметне набавке на коју се закон не примењује.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Употреба печата није обавезна у складу са Законом о привредним друштвима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sr-Cyrl-CS"/>
        </w:rPr>
        <w:t>„Сл. гласник РС“ бр.36/11, 99/11, 83/14 – др.закон, 5/15, 44/18 и  95/18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66E21" w:rsidRDefault="00966E21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66E21" w:rsidRDefault="00966E21" w:rsidP="009F3A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 xml:space="preserve">АДРЕСА НА КОЈУ СЕ ПОНУДЕ ДОСТАВЉАЈУ ПОШТОМ И АДРЕСА ЕЛЕКТРОНСКЕ ПОШТЕ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C50A07">
        <w:rPr>
          <w:rFonts w:ascii="Times New Roman" w:hAnsi="Times New Roman" w:cs="Times New Roman"/>
          <w:b/>
          <w:sz w:val="24"/>
          <w:szCs w:val="24"/>
          <w:u w:val="single"/>
        </w:rPr>
        <w:t>E-MAIL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50A07" w:rsidRDefault="00C50A07" w:rsidP="009F3AB5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Привредни субјект понуду може поднети непосредно, путем поште на адресу</w:t>
      </w:r>
      <w:r w:rsidR="00270A0C">
        <w:rPr>
          <w:rFonts w:ascii="Times New Roman" w:hAnsi="Times New Roman" w:cs="Times New Roman"/>
          <w:sz w:val="28"/>
          <w:szCs w:val="28"/>
          <w:lang w:val="sr-Cyrl-CS"/>
        </w:rPr>
        <w:t>: Установа Нишки културни центар,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Станоја Бунушевца бб, 18000 Ниш или електронским путем на адресу: </w:t>
      </w:r>
      <w:hyperlink r:id="rId9" w:history="1"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  <w:lang w:val="sr-Latn-CS"/>
          </w:rPr>
          <w:t>pravnasluzbankc</w:t>
        </w:r>
        <w:r w:rsidR="008E6346" w:rsidRPr="00320003">
          <w:rPr>
            <w:rStyle w:val="Hyperlink"/>
            <w:rFonts w:ascii="Times New Roman" w:hAnsi="Times New Roman" w:cs="Times New Roman"/>
            <w:sz w:val="28"/>
            <w:szCs w:val="28"/>
          </w:rPr>
          <w:t>@gmail.com</w:t>
        </w:r>
      </w:hyperlink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305771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E6346" w:rsidRDefault="008E6346" w:rsidP="008E6346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ДИРЕКТОР</w:t>
      </w:r>
    </w:p>
    <w:p w:rsidR="00B050A7" w:rsidRPr="005E2113" w:rsidRDefault="0027296C" w:rsidP="005E2113">
      <w:pPr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Срђан Савић</w:t>
      </w:r>
    </w:p>
    <w:sectPr w:rsidR="00B050A7" w:rsidRPr="005E2113" w:rsidSect="005508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407"/>
    <w:multiLevelType w:val="hybridMultilevel"/>
    <w:tmpl w:val="5916FD14"/>
    <w:lvl w:ilvl="0" w:tplc="2A7073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CE56AC"/>
    <w:multiLevelType w:val="hybridMultilevel"/>
    <w:tmpl w:val="F54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B6B9A"/>
    <w:multiLevelType w:val="hybridMultilevel"/>
    <w:tmpl w:val="D4F449EE"/>
    <w:lvl w:ilvl="0" w:tplc="6B96E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81CDF"/>
    <w:multiLevelType w:val="hybridMultilevel"/>
    <w:tmpl w:val="F29CCCB8"/>
    <w:lvl w:ilvl="0" w:tplc="DFFECF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D54A0"/>
    <w:multiLevelType w:val="hybridMultilevel"/>
    <w:tmpl w:val="E0DE3AA8"/>
    <w:lvl w:ilvl="0" w:tplc="C2E453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B10BF7"/>
    <w:multiLevelType w:val="hybridMultilevel"/>
    <w:tmpl w:val="5FB2B5A2"/>
    <w:lvl w:ilvl="0" w:tplc="3176E6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B336A"/>
    <w:multiLevelType w:val="hybridMultilevel"/>
    <w:tmpl w:val="69CAC29C"/>
    <w:lvl w:ilvl="0" w:tplc="6832D6B4">
      <w:start w:val="1"/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>
    <w:nsid w:val="7A6D6A76"/>
    <w:multiLevelType w:val="hybridMultilevel"/>
    <w:tmpl w:val="FF2E1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480F1F"/>
    <w:multiLevelType w:val="hybridMultilevel"/>
    <w:tmpl w:val="1A4C4698"/>
    <w:lvl w:ilvl="0" w:tplc="C4D4AD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CD"/>
    <w:rsid w:val="00012C24"/>
    <w:rsid w:val="00025957"/>
    <w:rsid w:val="00030EAF"/>
    <w:rsid w:val="00032959"/>
    <w:rsid w:val="0004091C"/>
    <w:rsid w:val="000B547C"/>
    <w:rsid w:val="000C0522"/>
    <w:rsid w:val="000C7D53"/>
    <w:rsid w:val="000D0240"/>
    <w:rsid w:val="000E3DB4"/>
    <w:rsid w:val="000E3E76"/>
    <w:rsid w:val="00102761"/>
    <w:rsid w:val="001103A8"/>
    <w:rsid w:val="00142036"/>
    <w:rsid w:val="001C7616"/>
    <w:rsid w:val="001D2779"/>
    <w:rsid w:val="001E1779"/>
    <w:rsid w:val="00200A40"/>
    <w:rsid w:val="00201EC8"/>
    <w:rsid w:val="00221C9E"/>
    <w:rsid w:val="00232902"/>
    <w:rsid w:val="00264C69"/>
    <w:rsid w:val="00270A0C"/>
    <w:rsid w:val="0027296C"/>
    <w:rsid w:val="002A5798"/>
    <w:rsid w:val="002B32F7"/>
    <w:rsid w:val="002F7CF5"/>
    <w:rsid w:val="00305771"/>
    <w:rsid w:val="0030777B"/>
    <w:rsid w:val="00330100"/>
    <w:rsid w:val="00330752"/>
    <w:rsid w:val="00396B49"/>
    <w:rsid w:val="003A3DFB"/>
    <w:rsid w:val="003F65DE"/>
    <w:rsid w:val="0040164A"/>
    <w:rsid w:val="00407E27"/>
    <w:rsid w:val="0041272D"/>
    <w:rsid w:val="0041477F"/>
    <w:rsid w:val="004179B7"/>
    <w:rsid w:val="0042232D"/>
    <w:rsid w:val="00431BFF"/>
    <w:rsid w:val="00456C08"/>
    <w:rsid w:val="00467B91"/>
    <w:rsid w:val="0048231A"/>
    <w:rsid w:val="004B037E"/>
    <w:rsid w:val="004B54E2"/>
    <w:rsid w:val="004E776A"/>
    <w:rsid w:val="0052585F"/>
    <w:rsid w:val="00530A89"/>
    <w:rsid w:val="00550805"/>
    <w:rsid w:val="0056414D"/>
    <w:rsid w:val="00581AC3"/>
    <w:rsid w:val="005916CF"/>
    <w:rsid w:val="005D2192"/>
    <w:rsid w:val="005E2113"/>
    <w:rsid w:val="00606E80"/>
    <w:rsid w:val="0061382B"/>
    <w:rsid w:val="00620A19"/>
    <w:rsid w:val="00624395"/>
    <w:rsid w:val="00637398"/>
    <w:rsid w:val="00637AB5"/>
    <w:rsid w:val="00646E1B"/>
    <w:rsid w:val="00674C31"/>
    <w:rsid w:val="006A5E69"/>
    <w:rsid w:val="006B32EE"/>
    <w:rsid w:val="006E2B4F"/>
    <w:rsid w:val="006F2C9B"/>
    <w:rsid w:val="006F7227"/>
    <w:rsid w:val="00711EE0"/>
    <w:rsid w:val="0071593A"/>
    <w:rsid w:val="007644BA"/>
    <w:rsid w:val="00770461"/>
    <w:rsid w:val="00792CBB"/>
    <w:rsid w:val="007D060D"/>
    <w:rsid w:val="007E2BE2"/>
    <w:rsid w:val="007E39E1"/>
    <w:rsid w:val="00822D9A"/>
    <w:rsid w:val="00842C80"/>
    <w:rsid w:val="008834E9"/>
    <w:rsid w:val="0089695B"/>
    <w:rsid w:val="008D1387"/>
    <w:rsid w:val="008E6346"/>
    <w:rsid w:val="009438E3"/>
    <w:rsid w:val="0095624F"/>
    <w:rsid w:val="00966E21"/>
    <w:rsid w:val="00984AB0"/>
    <w:rsid w:val="00985F25"/>
    <w:rsid w:val="00993FE0"/>
    <w:rsid w:val="009B39A3"/>
    <w:rsid w:val="009C3A81"/>
    <w:rsid w:val="009D0165"/>
    <w:rsid w:val="009E1D64"/>
    <w:rsid w:val="009F3AB5"/>
    <w:rsid w:val="00A32292"/>
    <w:rsid w:val="00A928CC"/>
    <w:rsid w:val="00AA55AF"/>
    <w:rsid w:val="00AB48F3"/>
    <w:rsid w:val="00AC2B8F"/>
    <w:rsid w:val="00AF4493"/>
    <w:rsid w:val="00B050A7"/>
    <w:rsid w:val="00B0562C"/>
    <w:rsid w:val="00B3334E"/>
    <w:rsid w:val="00B513ED"/>
    <w:rsid w:val="00B77DA0"/>
    <w:rsid w:val="00B84028"/>
    <w:rsid w:val="00BA7F17"/>
    <w:rsid w:val="00BB2F6D"/>
    <w:rsid w:val="00BB6830"/>
    <w:rsid w:val="00BB7AD5"/>
    <w:rsid w:val="00BB7CD5"/>
    <w:rsid w:val="00BD5EE2"/>
    <w:rsid w:val="00C127BD"/>
    <w:rsid w:val="00C21DB1"/>
    <w:rsid w:val="00C2472A"/>
    <w:rsid w:val="00C32EF8"/>
    <w:rsid w:val="00C50A07"/>
    <w:rsid w:val="00C5403B"/>
    <w:rsid w:val="00C54C90"/>
    <w:rsid w:val="00C85D8C"/>
    <w:rsid w:val="00C877A3"/>
    <w:rsid w:val="00CD25E9"/>
    <w:rsid w:val="00CE381C"/>
    <w:rsid w:val="00D256CF"/>
    <w:rsid w:val="00D94C53"/>
    <w:rsid w:val="00D97A49"/>
    <w:rsid w:val="00DA70E5"/>
    <w:rsid w:val="00DE5BB0"/>
    <w:rsid w:val="00DF3E12"/>
    <w:rsid w:val="00DF6F44"/>
    <w:rsid w:val="00E121C3"/>
    <w:rsid w:val="00E13F57"/>
    <w:rsid w:val="00E37EBB"/>
    <w:rsid w:val="00E546EA"/>
    <w:rsid w:val="00E8027C"/>
    <w:rsid w:val="00E8551A"/>
    <w:rsid w:val="00F006CD"/>
    <w:rsid w:val="00F45144"/>
    <w:rsid w:val="00F57FC8"/>
    <w:rsid w:val="00F67CEC"/>
    <w:rsid w:val="00F837DB"/>
    <w:rsid w:val="00F84D05"/>
    <w:rsid w:val="00FB0CF0"/>
    <w:rsid w:val="00FB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1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qFormat/>
    <w:rsid w:val="007159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0A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301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nasluzbankc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ravnasluzbank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avnasluzbank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E095-5C7A-41AD-ABE9-1C56967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11</Pages>
  <Words>1513</Words>
  <Characters>8627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Pravna služba</Company>
  <LinksUpToDate>false</LinksUpToDate>
  <CharactersWithSpaces>10120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Ristić</dc:creator>
  <cp:lastModifiedBy>Goca</cp:lastModifiedBy>
  <cp:revision>223</cp:revision>
  <cp:lastPrinted>2025-04-08T09:13:00Z</cp:lastPrinted>
  <dcterms:created xsi:type="dcterms:W3CDTF">2024-04-08T08:25:00Z</dcterms:created>
  <dcterms:modified xsi:type="dcterms:W3CDTF">2025-04-08T10:12:00Z</dcterms:modified>
</cp:coreProperties>
</file>